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893A5">
      <w:pPr>
        <w:snapToGrid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采购需求</w:t>
      </w:r>
    </w:p>
    <w:p w14:paraId="0518309E">
      <w:pPr>
        <w:pStyle w:val="6"/>
        <w:keepNext w:val="0"/>
        <w:keepLines w:val="0"/>
        <w:pageBreakBefore w:val="0"/>
        <w:kinsoku/>
        <w:wordWrap/>
        <w:topLinePunct w:val="0"/>
        <w:bidi w:val="0"/>
        <w:snapToGrid w:val="0"/>
        <w:spacing w:line="360" w:lineRule="exact"/>
        <w:outlineLvl w:val="0"/>
        <w:rPr>
          <w:rFonts w:hint="eastAsia" w:ascii="宋体" w:hAnsi="宋体" w:eastAsia="宋体" w:cs="宋体"/>
          <w:b/>
          <w:bCs/>
          <w:color w:val="auto"/>
          <w:sz w:val="22"/>
          <w:szCs w:val="22"/>
          <w:highlight w:val="none"/>
        </w:rPr>
      </w:pPr>
      <w:bookmarkStart w:id="0" w:name="_Toc29640"/>
      <w:r>
        <w:rPr>
          <w:rFonts w:hint="eastAsia" w:ascii="宋体" w:hAnsi="宋体" w:eastAsia="宋体" w:cs="宋体"/>
          <w:b/>
          <w:bCs/>
          <w:color w:val="auto"/>
          <w:sz w:val="22"/>
          <w:highlight w:val="none"/>
        </w:rPr>
        <w:t>一</w:t>
      </w:r>
      <w:r>
        <w:rPr>
          <w:rFonts w:hint="eastAsia" w:ascii="宋体" w:hAnsi="宋体" w:eastAsia="宋体" w:cs="宋体"/>
          <w:b/>
          <w:bCs/>
          <w:color w:val="auto"/>
          <w:sz w:val="22"/>
          <w:highlight w:val="none"/>
          <w:lang w:eastAsia="zh-CN"/>
        </w:rPr>
        <w:t>、</w:t>
      </w:r>
      <w:r>
        <w:rPr>
          <w:rFonts w:hint="eastAsia" w:ascii="宋体" w:hAnsi="宋体" w:eastAsia="宋体" w:cs="宋体"/>
          <w:b/>
          <w:bCs/>
          <w:color w:val="auto"/>
          <w:sz w:val="22"/>
          <w:highlight w:val="none"/>
        </w:rPr>
        <w:t>采</w:t>
      </w:r>
      <w:r>
        <w:rPr>
          <w:rFonts w:hint="eastAsia" w:ascii="宋体" w:hAnsi="宋体" w:eastAsia="宋体" w:cs="宋体"/>
          <w:b/>
          <w:bCs/>
          <w:color w:val="auto"/>
          <w:sz w:val="22"/>
          <w:szCs w:val="22"/>
          <w:highlight w:val="none"/>
        </w:rPr>
        <w:t>购清单</w:t>
      </w:r>
      <w:bookmarkEnd w:id="0"/>
    </w:p>
    <w:tbl>
      <w:tblPr>
        <w:tblStyle w:val="8"/>
        <w:tblW w:w="9382" w:type="dxa"/>
        <w:jc w:val="center"/>
        <w:tblLayout w:type="fixed"/>
        <w:tblCellMar>
          <w:top w:w="0" w:type="dxa"/>
          <w:left w:w="108" w:type="dxa"/>
          <w:bottom w:w="0" w:type="dxa"/>
          <w:right w:w="108" w:type="dxa"/>
        </w:tblCellMar>
      </w:tblPr>
      <w:tblGrid>
        <w:gridCol w:w="713"/>
        <w:gridCol w:w="2021"/>
        <w:gridCol w:w="1729"/>
        <w:gridCol w:w="1273"/>
        <w:gridCol w:w="1169"/>
        <w:gridCol w:w="2477"/>
      </w:tblGrid>
      <w:tr w14:paraId="756E57E8">
        <w:tblPrEx>
          <w:tblCellMar>
            <w:top w:w="0" w:type="dxa"/>
            <w:left w:w="108" w:type="dxa"/>
            <w:bottom w:w="0" w:type="dxa"/>
            <w:right w:w="108" w:type="dxa"/>
          </w:tblCellMar>
        </w:tblPrEx>
        <w:trPr>
          <w:trHeight w:val="454" w:hRule="atLeast"/>
          <w:jc w:val="center"/>
        </w:trPr>
        <w:tc>
          <w:tcPr>
            <w:tcW w:w="7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233AA5">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标项</w:t>
            </w:r>
          </w:p>
        </w:tc>
        <w:tc>
          <w:tcPr>
            <w:tcW w:w="20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36F526">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1729"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3292D5C7">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 xml:space="preserve">数量 </w:t>
            </w:r>
          </w:p>
        </w:tc>
        <w:tc>
          <w:tcPr>
            <w:tcW w:w="1273"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2B4DE479">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固定单价(元)</w:t>
            </w:r>
          </w:p>
        </w:tc>
        <w:tc>
          <w:tcPr>
            <w:tcW w:w="1169"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2A7934F0">
            <w:pPr>
              <w:spacing w:line="37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预算金额（元）</w:t>
            </w:r>
          </w:p>
        </w:tc>
        <w:tc>
          <w:tcPr>
            <w:tcW w:w="2477"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7CBA21F3">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备注</w:t>
            </w:r>
          </w:p>
        </w:tc>
      </w:tr>
      <w:tr w14:paraId="1E057CEF">
        <w:tblPrEx>
          <w:tblCellMar>
            <w:top w:w="0" w:type="dxa"/>
            <w:left w:w="108" w:type="dxa"/>
            <w:bottom w:w="0" w:type="dxa"/>
            <w:right w:w="108" w:type="dxa"/>
          </w:tblCellMar>
        </w:tblPrEx>
        <w:trPr>
          <w:trHeight w:val="516" w:hRule="atLeast"/>
          <w:jc w:val="center"/>
        </w:trPr>
        <w:tc>
          <w:tcPr>
            <w:tcW w:w="7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3354A6">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0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CCE0A3">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t>中秋节慰问品采购</w:t>
            </w:r>
          </w:p>
        </w:tc>
        <w:tc>
          <w:tcPr>
            <w:tcW w:w="1729"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20A378B8">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约1130份</w:t>
            </w:r>
          </w:p>
        </w:tc>
        <w:tc>
          <w:tcPr>
            <w:tcW w:w="1273"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094513DA">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200</w:t>
            </w:r>
          </w:p>
        </w:tc>
        <w:tc>
          <w:tcPr>
            <w:tcW w:w="1169"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7257EFF8">
            <w:pPr>
              <w:spacing w:line="34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约226000</w:t>
            </w:r>
          </w:p>
        </w:tc>
        <w:tc>
          <w:tcPr>
            <w:tcW w:w="2477"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56D41C4D">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kern w:val="0"/>
                <w:sz w:val="22"/>
                <w:highlight w:val="none"/>
              </w:rPr>
              <w:t>实际金额按固定单价*实际购买份数结算</w:t>
            </w:r>
          </w:p>
        </w:tc>
      </w:tr>
    </w:tbl>
    <w:p w14:paraId="5F2E2F91">
      <w:pPr>
        <w:keepNext w:val="0"/>
        <w:keepLines w:val="0"/>
        <w:pageBreakBefore w:val="0"/>
        <w:kinsoku/>
        <w:wordWrap/>
        <w:topLinePunct w:val="0"/>
        <w:bidi w:val="0"/>
        <w:snapToGrid w:val="0"/>
        <w:spacing w:line="360" w:lineRule="exact"/>
        <w:outlineLvl w:val="0"/>
        <w:rPr>
          <w:rFonts w:hint="eastAsia" w:ascii="宋体" w:hAnsi="宋体" w:eastAsia="宋体" w:cs="宋体"/>
          <w:b/>
          <w:bCs/>
          <w:color w:val="auto"/>
          <w:spacing w:val="-6"/>
          <w:sz w:val="22"/>
          <w:szCs w:val="22"/>
          <w:highlight w:val="none"/>
        </w:rPr>
      </w:pPr>
      <w:bookmarkStart w:id="1" w:name="_Toc11956"/>
      <w:r>
        <w:rPr>
          <w:rFonts w:hint="eastAsia" w:ascii="宋体" w:hAnsi="宋体" w:eastAsia="宋体" w:cs="宋体"/>
          <w:b/>
          <w:bCs/>
          <w:color w:val="auto"/>
          <w:sz w:val="22"/>
          <w:szCs w:val="22"/>
          <w:highlight w:val="none"/>
        </w:rPr>
        <w:t>二</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pacing w:val="-6"/>
          <w:sz w:val="22"/>
          <w:szCs w:val="22"/>
          <w:highlight w:val="none"/>
        </w:rPr>
        <w:t>商务要求（技术要求里另有注明的以技术要求为准）</w:t>
      </w:r>
      <w:bookmarkEnd w:id="1"/>
    </w:p>
    <w:tbl>
      <w:tblPr>
        <w:tblStyle w:val="8"/>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38"/>
        <w:gridCol w:w="8422"/>
      </w:tblGrid>
      <w:tr w14:paraId="65356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772" w:type="pct"/>
            <w:tcBorders>
              <w:top w:val="single" w:color="auto" w:sz="4" w:space="0"/>
              <w:left w:val="single" w:color="auto" w:sz="4" w:space="0"/>
              <w:bottom w:val="single" w:color="auto" w:sz="4" w:space="0"/>
              <w:right w:val="single" w:color="auto" w:sz="4" w:space="0"/>
            </w:tcBorders>
            <w:noWrap w:val="0"/>
            <w:vAlign w:val="center"/>
          </w:tcPr>
          <w:p w14:paraId="169E8326">
            <w:pPr>
              <w:keepNext w:val="0"/>
              <w:keepLines w:val="0"/>
              <w:pageBreakBefore w:val="0"/>
              <w:kinsoku/>
              <w:wordWrap/>
              <w:topLinePunct w:val="0"/>
              <w:bidi w:val="0"/>
              <w:spacing w:line="360" w:lineRule="exact"/>
              <w:jc w:val="center"/>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付款方式</w:t>
            </w:r>
          </w:p>
        </w:tc>
        <w:tc>
          <w:tcPr>
            <w:tcW w:w="4227" w:type="pct"/>
            <w:tcBorders>
              <w:top w:val="single" w:color="auto" w:sz="4" w:space="0"/>
              <w:left w:val="single" w:color="auto" w:sz="4" w:space="0"/>
              <w:bottom w:val="single" w:color="auto" w:sz="4" w:space="0"/>
              <w:right w:val="single" w:color="auto" w:sz="4" w:space="0"/>
            </w:tcBorders>
            <w:noWrap w:val="0"/>
            <w:vAlign w:val="center"/>
          </w:tcPr>
          <w:p w14:paraId="03293C62">
            <w:pPr>
              <w:pStyle w:val="5"/>
              <w:keepNext w:val="0"/>
              <w:keepLines w:val="0"/>
              <w:pageBreakBefore w:val="0"/>
              <w:kinsoku/>
              <w:wordWrap/>
              <w:topLinePunct w:val="0"/>
              <w:bidi w:val="0"/>
              <w:spacing w:line="360" w:lineRule="exact"/>
              <w:rPr>
                <w:rFonts w:hint="eastAsia" w:ascii="宋体" w:hAnsi="宋体" w:eastAsia="宋体" w:cs="宋体"/>
                <w:color w:val="auto"/>
                <w:sz w:val="22"/>
                <w:highlight w:val="none"/>
                <w:u w:val="single"/>
              </w:rPr>
            </w:pPr>
            <w:bookmarkStart w:id="2" w:name="OLE_LINK4"/>
            <w:r>
              <w:rPr>
                <w:rFonts w:hint="eastAsia" w:ascii="宋体" w:hAnsi="宋体" w:eastAsia="宋体" w:cs="宋体"/>
                <w:color w:val="auto"/>
                <w:kern w:val="0"/>
                <w:sz w:val="22"/>
                <w:szCs w:val="22"/>
                <w:highlight w:val="none"/>
                <w:u w:val="single"/>
              </w:rPr>
              <w:t>▲</w:t>
            </w:r>
            <w:bookmarkEnd w:id="2"/>
            <w:r>
              <w:rPr>
                <w:rFonts w:hint="eastAsia" w:ascii="宋体" w:hAnsi="宋体" w:eastAsia="宋体" w:cs="宋体"/>
                <w:color w:val="auto"/>
                <w:sz w:val="22"/>
                <w:highlight w:val="none"/>
                <w:u w:val="single"/>
              </w:rPr>
              <w:t>一、履约保证金支付</w:t>
            </w:r>
          </w:p>
          <w:p w14:paraId="7B468B8C">
            <w:pPr>
              <w:widowControl/>
              <w:spacing w:line="360" w:lineRule="exact"/>
              <w:jc w:val="left"/>
              <w:rPr>
                <w:rFonts w:hint="eastAsia" w:ascii="宋体" w:hAnsi="宋体" w:eastAsia="宋体" w:cs="宋体"/>
                <w:color w:val="auto"/>
                <w:kern w:val="0"/>
                <w:sz w:val="22"/>
                <w:szCs w:val="22"/>
                <w:highlight w:val="none"/>
                <w:u w:val="single"/>
                <w:lang w:val="en-US" w:eastAsia="zh-CN"/>
              </w:rPr>
            </w:pPr>
            <w:r>
              <w:rPr>
                <w:rFonts w:hint="eastAsia" w:ascii="宋体" w:hAnsi="宋体" w:eastAsia="宋体" w:cs="宋体"/>
                <w:color w:val="auto"/>
                <w:kern w:val="0"/>
                <w:sz w:val="22"/>
                <w:szCs w:val="22"/>
                <w:highlight w:val="none"/>
                <w:u w:val="single"/>
                <w:lang w:val="en-US" w:eastAsia="zh-CN"/>
              </w:rPr>
              <w:t>本项目不收取履约保证金</w:t>
            </w:r>
          </w:p>
          <w:p w14:paraId="4CBD5C50">
            <w:pPr>
              <w:widowControl/>
              <w:spacing w:line="360" w:lineRule="exact"/>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▲二、合同金额结算及支付方式：</w:t>
            </w:r>
          </w:p>
          <w:p w14:paraId="03B048A2">
            <w:pPr>
              <w:pStyle w:val="5"/>
              <w:keepNext w:val="0"/>
              <w:keepLines w:val="0"/>
              <w:pageBreakBefore w:val="0"/>
              <w:kinsoku/>
              <w:wordWrap/>
              <w:topLinePunct w:val="0"/>
              <w:bidi w:val="0"/>
              <w:spacing w:line="360" w:lineRule="exact"/>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color w:val="auto"/>
                <w:sz w:val="22"/>
                <w:highlight w:val="none"/>
                <w:u w:val="single"/>
              </w:rPr>
              <w:t>合同签订后，</w:t>
            </w:r>
            <w:r>
              <w:rPr>
                <w:rFonts w:hint="eastAsia" w:ascii="宋体" w:hAnsi="宋体" w:eastAsia="宋体" w:cs="宋体"/>
                <w:color w:val="auto"/>
                <w:sz w:val="22"/>
                <w:highlight w:val="none"/>
                <w:u w:val="single"/>
                <w:lang w:val="en-US" w:eastAsia="zh-CN"/>
              </w:rPr>
              <w:t>卖</w:t>
            </w:r>
            <w:r>
              <w:rPr>
                <w:rFonts w:hint="eastAsia" w:ascii="宋体" w:hAnsi="宋体" w:eastAsia="宋体" w:cs="宋体"/>
                <w:color w:val="auto"/>
                <w:sz w:val="22"/>
                <w:highlight w:val="none"/>
                <w:u w:val="single"/>
              </w:rPr>
              <w:t>方完成全部供货、分发等服务后并通过</w:t>
            </w:r>
            <w:r>
              <w:rPr>
                <w:rFonts w:hint="eastAsia" w:ascii="宋体" w:hAnsi="宋体" w:eastAsia="宋体" w:cs="宋体"/>
                <w:color w:val="auto"/>
                <w:sz w:val="22"/>
                <w:highlight w:val="none"/>
                <w:u w:val="single"/>
                <w:lang w:val="en-US" w:eastAsia="zh-CN"/>
              </w:rPr>
              <w:t>买方</w:t>
            </w:r>
            <w:r>
              <w:rPr>
                <w:rFonts w:hint="eastAsia" w:ascii="宋体" w:hAnsi="宋体" w:eastAsia="宋体" w:cs="宋体"/>
                <w:color w:val="auto"/>
                <w:sz w:val="22"/>
                <w:highlight w:val="none"/>
                <w:u w:val="single"/>
              </w:rPr>
              <w:t>验收，根据买方和卖方双方确认的清单进行结算（卖方开具相应金额的增值税正式发票</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报销后15个工作日内，买方向卖方</w:t>
            </w:r>
            <w:r>
              <w:rPr>
                <w:rFonts w:hint="eastAsia" w:ascii="宋体" w:hAnsi="宋体" w:eastAsia="宋体" w:cs="宋体"/>
                <w:color w:val="auto"/>
                <w:sz w:val="22"/>
                <w:szCs w:val="22"/>
                <w:highlight w:val="none"/>
                <w:u w:val="single"/>
                <w:lang w:eastAsia="zh-CN"/>
              </w:rPr>
              <w:t>支付已确认的</w:t>
            </w:r>
            <w:r>
              <w:rPr>
                <w:rFonts w:hint="eastAsia" w:ascii="宋体" w:hAnsi="宋体" w:eastAsia="宋体" w:cs="宋体"/>
                <w:color w:val="auto"/>
                <w:sz w:val="22"/>
                <w:szCs w:val="22"/>
                <w:highlight w:val="none"/>
                <w:u w:val="single"/>
                <w:lang w:val="en-US" w:eastAsia="zh-CN"/>
              </w:rPr>
              <w:t>费用</w:t>
            </w:r>
            <w:r>
              <w:rPr>
                <w:rFonts w:hint="eastAsia" w:ascii="宋体" w:hAnsi="宋体" w:eastAsia="宋体" w:cs="宋体"/>
                <w:color w:val="auto"/>
                <w:sz w:val="22"/>
                <w:szCs w:val="22"/>
                <w:highlight w:val="none"/>
                <w:u w:val="single"/>
                <w:lang w:eastAsia="zh-CN"/>
              </w:rPr>
              <w:t>）。</w:t>
            </w:r>
          </w:p>
        </w:tc>
      </w:tr>
      <w:tr w14:paraId="6E1C0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72" w:type="pct"/>
            <w:tcBorders>
              <w:top w:val="single" w:color="auto" w:sz="4" w:space="0"/>
              <w:left w:val="single" w:color="auto" w:sz="4" w:space="0"/>
              <w:bottom w:val="single" w:color="auto" w:sz="4" w:space="0"/>
              <w:right w:val="single" w:color="auto" w:sz="4" w:space="0"/>
            </w:tcBorders>
            <w:noWrap w:val="0"/>
            <w:vAlign w:val="center"/>
          </w:tcPr>
          <w:p w14:paraId="29BD81D5">
            <w:pPr>
              <w:keepNext w:val="0"/>
              <w:keepLines w:val="0"/>
              <w:pageBreakBefore w:val="0"/>
              <w:kinsoku/>
              <w:wordWrap/>
              <w:topLinePunct w:val="0"/>
              <w:bidi w:val="0"/>
              <w:adjustRightInd w:val="0"/>
              <w:snapToGrid w:val="0"/>
              <w:spacing w:line="360" w:lineRule="exact"/>
              <w:jc w:val="center"/>
              <w:rPr>
                <w:rFonts w:hint="eastAsia" w:ascii="宋体" w:hAnsi="宋体" w:eastAsia="宋体" w:cs="宋体"/>
                <w:b/>
                <w:bCs/>
                <w:color w:val="auto"/>
                <w:kern w:val="2"/>
                <w:sz w:val="22"/>
                <w:szCs w:val="22"/>
                <w:highlight w:val="none"/>
                <w:u w:val="none"/>
                <w:lang w:val="en-US" w:eastAsia="zh-CN" w:bidi="ar-SA"/>
              </w:rPr>
            </w:pPr>
            <w:r>
              <w:rPr>
                <w:rFonts w:hint="eastAsia" w:ascii="宋体" w:hAnsi="宋体" w:eastAsia="宋体" w:cs="宋体"/>
                <w:b/>
                <w:bCs/>
                <w:color w:val="auto"/>
                <w:spacing w:val="-6"/>
                <w:sz w:val="22"/>
                <w:szCs w:val="22"/>
                <w:highlight w:val="none"/>
                <w:u w:val="none"/>
              </w:rPr>
              <w:t>交付</w:t>
            </w:r>
            <w:r>
              <w:rPr>
                <w:rFonts w:hint="eastAsia" w:ascii="宋体" w:hAnsi="宋体" w:eastAsia="宋体" w:cs="宋体"/>
                <w:b/>
                <w:bCs/>
                <w:color w:val="auto"/>
                <w:spacing w:val="-6"/>
                <w:sz w:val="22"/>
                <w:szCs w:val="22"/>
                <w:highlight w:val="none"/>
                <w:u w:val="none"/>
                <w:lang w:val="en-US" w:eastAsia="zh-CN"/>
              </w:rPr>
              <w:t>要求</w:t>
            </w:r>
          </w:p>
        </w:tc>
        <w:tc>
          <w:tcPr>
            <w:tcW w:w="4227" w:type="pct"/>
            <w:tcBorders>
              <w:top w:val="single" w:color="auto" w:sz="4" w:space="0"/>
              <w:left w:val="single" w:color="auto" w:sz="4" w:space="0"/>
              <w:bottom w:val="single" w:color="auto" w:sz="4" w:space="0"/>
              <w:right w:val="single" w:color="auto" w:sz="4" w:space="0"/>
            </w:tcBorders>
            <w:noWrap w:val="0"/>
            <w:vAlign w:val="center"/>
          </w:tcPr>
          <w:p w14:paraId="4837B18F">
            <w:pPr>
              <w:keepNext w:val="0"/>
              <w:keepLines w:val="0"/>
              <w:pageBreakBefore w:val="0"/>
              <w:kinsoku/>
              <w:wordWrap/>
              <w:topLinePunct w:val="0"/>
              <w:bidi w:val="0"/>
              <w:adjustRightInd w:val="0"/>
              <w:snapToGrid w:val="0"/>
              <w:spacing w:line="360" w:lineRule="exac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highlight w:val="none"/>
                <w:lang w:eastAsia="zh-CN"/>
              </w:rPr>
              <w:t>按</w:t>
            </w:r>
            <w:r>
              <w:rPr>
                <w:rFonts w:hint="eastAsia" w:ascii="宋体" w:hAnsi="宋体" w:eastAsia="宋体" w:cs="宋体"/>
                <w:color w:val="auto"/>
                <w:kern w:val="0"/>
                <w:sz w:val="22"/>
                <w:highlight w:val="none"/>
                <w:lang w:val="en-US" w:eastAsia="zh-CN"/>
              </w:rPr>
              <w:t>采购人</w:t>
            </w:r>
            <w:r>
              <w:rPr>
                <w:rFonts w:hint="eastAsia" w:ascii="宋体" w:hAnsi="宋体" w:eastAsia="宋体" w:cs="宋体"/>
                <w:color w:val="auto"/>
                <w:kern w:val="0"/>
                <w:sz w:val="22"/>
                <w:highlight w:val="none"/>
                <w:lang w:eastAsia="zh-CN"/>
              </w:rPr>
              <w:t>要求和份数于</w:t>
            </w:r>
            <w:r>
              <w:rPr>
                <w:rFonts w:hint="eastAsia" w:ascii="宋体" w:hAnsi="宋体" w:eastAsia="宋体" w:cs="宋体"/>
                <w:color w:val="auto"/>
                <w:kern w:val="0"/>
                <w:sz w:val="22"/>
                <w:highlight w:val="none"/>
                <w:lang w:val="en-US" w:eastAsia="zh-CN"/>
              </w:rPr>
              <w:t>2025年09月23日上午送到指定的各校区，并做好分发放工作</w:t>
            </w:r>
            <w:r>
              <w:rPr>
                <w:rFonts w:hint="eastAsia" w:ascii="宋体" w:hAnsi="宋体" w:eastAsia="宋体" w:cs="宋体"/>
                <w:color w:val="auto"/>
                <w:kern w:val="0"/>
                <w:sz w:val="22"/>
                <w:highlight w:val="none"/>
              </w:rPr>
              <w:t>。</w:t>
            </w:r>
          </w:p>
        </w:tc>
      </w:tr>
      <w:tr w14:paraId="04E46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72" w:type="pct"/>
            <w:tcBorders>
              <w:top w:val="single" w:color="auto" w:sz="4" w:space="0"/>
              <w:left w:val="single" w:color="auto" w:sz="4" w:space="0"/>
              <w:bottom w:val="single" w:color="auto" w:sz="4" w:space="0"/>
              <w:right w:val="single" w:color="auto" w:sz="4" w:space="0"/>
            </w:tcBorders>
            <w:noWrap w:val="0"/>
            <w:vAlign w:val="center"/>
          </w:tcPr>
          <w:p w14:paraId="0E440C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pacing w:val="-6"/>
                <w:sz w:val="22"/>
                <w:szCs w:val="22"/>
                <w:highlight w:val="none"/>
              </w:rPr>
              <w:t>服务效率</w:t>
            </w:r>
          </w:p>
        </w:tc>
        <w:tc>
          <w:tcPr>
            <w:tcW w:w="4227" w:type="pct"/>
            <w:tcBorders>
              <w:top w:val="single" w:color="auto" w:sz="4" w:space="0"/>
              <w:left w:val="single" w:color="auto" w:sz="4" w:space="0"/>
              <w:bottom w:val="single" w:color="auto" w:sz="4" w:space="0"/>
              <w:right w:val="single" w:color="auto" w:sz="4" w:space="0"/>
            </w:tcBorders>
            <w:noWrap w:val="0"/>
            <w:vAlign w:val="center"/>
          </w:tcPr>
          <w:p w14:paraId="7B67479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接到采购人电话后，</w:t>
            </w:r>
            <w:r>
              <w:rPr>
                <w:rFonts w:hint="eastAsia" w:ascii="宋体" w:hAnsi="宋体" w:eastAsia="宋体" w:cs="宋体"/>
                <w:color w:val="auto"/>
                <w:sz w:val="22"/>
                <w:szCs w:val="22"/>
                <w:highlight w:val="none"/>
                <w:lang w:val="en-US" w:eastAsia="zh-CN"/>
              </w:rPr>
              <w:t>30分钟</w:t>
            </w:r>
            <w:r>
              <w:rPr>
                <w:rFonts w:hint="eastAsia" w:ascii="宋体" w:hAnsi="宋体" w:eastAsia="宋体" w:cs="宋体"/>
                <w:color w:val="auto"/>
                <w:sz w:val="22"/>
                <w:szCs w:val="22"/>
                <w:highlight w:val="none"/>
              </w:rPr>
              <w:t>内响应。</w:t>
            </w:r>
          </w:p>
        </w:tc>
      </w:tr>
    </w:tbl>
    <w:p w14:paraId="53388778">
      <w:pPr>
        <w:keepNext w:val="0"/>
        <w:keepLines w:val="0"/>
        <w:pageBreakBefore w:val="0"/>
        <w:widowControl w:val="0"/>
        <w:numPr>
          <w:ilvl w:val="0"/>
          <w:numId w:val="1"/>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lang w:eastAsia="zh-CN"/>
        </w:rPr>
        <w:t>技术</w:t>
      </w:r>
      <w:r>
        <w:rPr>
          <w:rFonts w:hint="eastAsia" w:ascii="宋体" w:hAnsi="宋体" w:eastAsia="宋体" w:cs="宋体"/>
          <w:b/>
          <w:bCs/>
          <w:color w:val="auto"/>
          <w:spacing w:val="-6"/>
          <w:sz w:val="22"/>
          <w:szCs w:val="22"/>
          <w:highlight w:val="none"/>
        </w:rPr>
        <w:t>要求</w:t>
      </w:r>
    </w:p>
    <w:p w14:paraId="6D460229">
      <w:pPr>
        <w:keepNext w:val="0"/>
        <w:keepLines w:val="0"/>
        <w:pageBreakBefore w:val="0"/>
        <w:numPr>
          <w:ilvl w:val="0"/>
          <w:numId w:val="0"/>
        </w:numPr>
        <w:kinsoku/>
        <w:wordWrap/>
        <w:topLinePunct w:val="0"/>
        <w:bidi w:val="0"/>
        <w:spacing w:line="360" w:lineRule="exact"/>
        <w:ind w:leftChars="200"/>
        <w:jc w:val="left"/>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一</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供货清单</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880"/>
        <w:gridCol w:w="3183"/>
        <w:gridCol w:w="965"/>
        <w:gridCol w:w="923"/>
        <w:gridCol w:w="2045"/>
      </w:tblGrid>
      <w:tr w14:paraId="148F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noWrap w:val="0"/>
            <w:vAlign w:val="center"/>
          </w:tcPr>
          <w:p w14:paraId="2A830BF4">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序号</w:t>
            </w:r>
          </w:p>
        </w:tc>
        <w:tc>
          <w:tcPr>
            <w:tcW w:w="943" w:type="pct"/>
            <w:noWrap w:val="0"/>
            <w:vAlign w:val="center"/>
          </w:tcPr>
          <w:p w14:paraId="0F5CEF52">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产品名称</w:t>
            </w:r>
          </w:p>
        </w:tc>
        <w:tc>
          <w:tcPr>
            <w:tcW w:w="1597" w:type="pct"/>
            <w:noWrap w:val="0"/>
            <w:vAlign w:val="center"/>
          </w:tcPr>
          <w:p w14:paraId="7CC993D1">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技术规格参数</w:t>
            </w:r>
          </w:p>
        </w:tc>
        <w:tc>
          <w:tcPr>
            <w:tcW w:w="484" w:type="pct"/>
            <w:noWrap w:val="0"/>
            <w:vAlign w:val="center"/>
          </w:tcPr>
          <w:p w14:paraId="0856469A">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单位</w:t>
            </w:r>
          </w:p>
        </w:tc>
        <w:tc>
          <w:tcPr>
            <w:tcW w:w="463" w:type="pct"/>
            <w:noWrap w:val="0"/>
            <w:vAlign w:val="center"/>
          </w:tcPr>
          <w:p w14:paraId="5B718963">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数量</w:t>
            </w:r>
          </w:p>
        </w:tc>
        <w:tc>
          <w:tcPr>
            <w:tcW w:w="1026" w:type="pct"/>
            <w:noWrap w:val="0"/>
            <w:vAlign w:val="center"/>
          </w:tcPr>
          <w:p w14:paraId="6C666CFA">
            <w:pPr>
              <w:jc w:val="center"/>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highlight w:val="none"/>
              </w:rPr>
              <w:t>参考</w:t>
            </w:r>
            <w:r>
              <w:rPr>
                <w:rFonts w:hint="eastAsia" w:ascii="宋体" w:hAnsi="宋体" w:eastAsia="宋体" w:cs="宋体"/>
                <w:color w:val="auto"/>
                <w:sz w:val="22"/>
                <w:szCs w:val="22"/>
                <w:highlight w:val="none"/>
                <w:vertAlign w:val="baseline"/>
                <w:lang w:val="en-US" w:eastAsia="zh-CN"/>
              </w:rPr>
              <w:t>品牌/产地</w:t>
            </w:r>
          </w:p>
        </w:tc>
      </w:tr>
      <w:tr w14:paraId="7B1A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noWrap w:val="0"/>
            <w:vAlign w:val="center"/>
          </w:tcPr>
          <w:p w14:paraId="0B150328">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43" w:type="pct"/>
            <w:noWrap w:val="0"/>
            <w:vAlign w:val="center"/>
          </w:tcPr>
          <w:p w14:paraId="544B537C">
            <w:pPr>
              <w:widowControl/>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葵花橄榄调和油</w:t>
            </w:r>
          </w:p>
        </w:tc>
        <w:tc>
          <w:tcPr>
            <w:tcW w:w="1597" w:type="pct"/>
            <w:noWrap w:val="0"/>
            <w:vAlign w:val="center"/>
          </w:tcPr>
          <w:p w14:paraId="04440EA8">
            <w:pPr>
              <w:widowControl/>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1.总净含量≥4L；</w:t>
            </w:r>
          </w:p>
          <w:p w14:paraId="744F4DEF">
            <w:pPr>
              <w:widowControl/>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2.特级初榨橄榄油含量≥5%；</w:t>
            </w:r>
          </w:p>
          <w:p w14:paraId="40DE116C">
            <w:pPr>
              <w:widowControl/>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3.生产日期起保质期≥12个月；</w:t>
            </w:r>
          </w:p>
          <w:p w14:paraId="5575C082">
            <w:pPr>
              <w:widowControl/>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4.供货时的生产日期为2025年05月01日以后。</w:t>
            </w:r>
          </w:p>
        </w:tc>
        <w:tc>
          <w:tcPr>
            <w:tcW w:w="484" w:type="pct"/>
            <w:noWrap w:val="0"/>
            <w:vAlign w:val="center"/>
          </w:tcPr>
          <w:p w14:paraId="1A16C913">
            <w:pPr>
              <w:widowControl/>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份</w:t>
            </w:r>
          </w:p>
        </w:tc>
        <w:tc>
          <w:tcPr>
            <w:tcW w:w="463" w:type="pct"/>
            <w:noWrap w:val="0"/>
            <w:vAlign w:val="center"/>
          </w:tcPr>
          <w:p w14:paraId="7A7D779C">
            <w:pPr>
              <w:widowControl/>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c>
          <w:tcPr>
            <w:tcW w:w="1026" w:type="pct"/>
            <w:noWrap w:val="0"/>
            <w:vAlign w:val="center"/>
          </w:tcPr>
          <w:p w14:paraId="57461D85">
            <w:pPr>
              <w:widowControl/>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0"/>
                <w:sz w:val="22"/>
                <w:highlight w:val="none"/>
                <w:u w:val="none"/>
                <w:lang w:bidi="ar"/>
              </w:rPr>
              <w:t>贝蒂斯、葵王、中粮初萃</w:t>
            </w:r>
          </w:p>
        </w:tc>
      </w:tr>
      <w:tr w14:paraId="2FC9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483" w:type="pct"/>
            <w:noWrap w:val="0"/>
            <w:vAlign w:val="center"/>
          </w:tcPr>
          <w:p w14:paraId="5485712D">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943" w:type="pct"/>
            <w:noWrap w:val="0"/>
            <w:vAlign w:val="center"/>
          </w:tcPr>
          <w:p w14:paraId="5B3C2C36">
            <w:pPr>
              <w:widowControl/>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野生苹果</w:t>
            </w:r>
          </w:p>
        </w:tc>
        <w:tc>
          <w:tcPr>
            <w:tcW w:w="1597" w:type="pct"/>
            <w:noWrap w:val="0"/>
            <w:vAlign w:val="center"/>
          </w:tcPr>
          <w:p w14:paraId="038BB92F">
            <w:pPr>
              <w:widowControl/>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1.净含量≥3500g；</w:t>
            </w:r>
          </w:p>
          <w:p w14:paraId="7DD7B969">
            <w:pPr>
              <w:widowControl/>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2.单果果径≥7CM；</w:t>
            </w:r>
          </w:p>
          <w:p w14:paraId="0C5D4C6F">
            <w:pPr>
              <w:widowControl/>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3.箱装。</w:t>
            </w:r>
          </w:p>
          <w:p w14:paraId="03F7282E">
            <w:pPr>
              <w:widowControl/>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4.要求果型端正、色泽均匀自然（符合该品种特征）、表皮光滑洁净、无明显机械损伤（碰压伤、刺伤、划伤）、无虫眼、无病斑（霉心病、褐斑病等）、无严重果锈。</w:t>
            </w:r>
          </w:p>
          <w:p w14:paraId="3DB00ADC">
            <w:pPr>
              <w:widowControl/>
              <w:jc w:val="both"/>
              <w:textAlignment w:val="center"/>
              <w:rPr>
                <w:rFonts w:hint="eastAsia"/>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5.供货时的采摘日期为2025年08月01日以后。</w:t>
            </w:r>
          </w:p>
        </w:tc>
        <w:tc>
          <w:tcPr>
            <w:tcW w:w="484" w:type="pct"/>
            <w:noWrap w:val="0"/>
            <w:vAlign w:val="center"/>
          </w:tcPr>
          <w:p w14:paraId="6517D989">
            <w:pPr>
              <w:widowControl/>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箱</w:t>
            </w:r>
          </w:p>
        </w:tc>
        <w:tc>
          <w:tcPr>
            <w:tcW w:w="463" w:type="pct"/>
            <w:noWrap w:val="0"/>
            <w:vAlign w:val="center"/>
          </w:tcPr>
          <w:p w14:paraId="5DC2E650">
            <w:pPr>
              <w:widowControl/>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c>
          <w:tcPr>
            <w:tcW w:w="1026" w:type="pct"/>
            <w:noWrap w:val="0"/>
            <w:vAlign w:val="center"/>
          </w:tcPr>
          <w:p w14:paraId="3955DAAD">
            <w:pPr>
              <w:widowControl/>
              <w:jc w:val="center"/>
              <w:textAlignment w:val="center"/>
              <w:rPr>
                <w:rFonts w:hint="eastAsia" w:ascii="宋体" w:hAnsi="宋体" w:eastAsia="宋体" w:cs="宋体"/>
                <w:color w:val="auto"/>
                <w:sz w:val="22"/>
                <w:szCs w:val="22"/>
                <w:highlight w:val="none"/>
                <w:vertAlign w:val="baseline"/>
                <w:lang w:val="en-US" w:eastAsia="zh-CN"/>
              </w:rPr>
            </w:pPr>
            <w:bookmarkStart w:id="3" w:name="OLE_LINK1"/>
            <w:r>
              <w:rPr>
                <w:rFonts w:hint="eastAsia" w:ascii="宋体" w:hAnsi="宋体" w:eastAsia="宋体" w:cs="宋体"/>
                <w:i w:val="0"/>
                <w:iCs w:val="0"/>
                <w:color w:val="auto"/>
                <w:kern w:val="0"/>
                <w:sz w:val="22"/>
                <w:szCs w:val="22"/>
                <w:highlight w:val="none"/>
                <w:u w:val="none"/>
                <w:lang w:val="en-US" w:eastAsia="zh-CN" w:bidi="ar"/>
              </w:rPr>
              <w:t>大凉山、阿克苏、</w:t>
            </w:r>
            <w:bookmarkEnd w:id="3"/>
            <w:r>
              <w:rPr>
                <w:rFonts w:hint="eastAsia" w:ascii="宋体" w:hAnsi="宋体" w:eastAsia="宋体" w:cs="宋体"/>
                <w:i w:val="0"/>
                <w:iCs w:val="0"/>
                <w:color w:val="auto"/>
                <w:kern w:val="0"/>
                <w:sz w:val="22"/>
                <w:szCs w:val="22"/>
                <w:highlight w:val="none"/>
                <w:u w:val="none"/>
                <w:lang w:val="en-US" w:eastAsia="zh-CN" w:bidi="ar"/>
              </w:rPr>
              <w:t>昭通</w:t>
            </w:r>
          </w:p>
        </w:tc>
      </w:tr>
      <w:tr w14:paraId="4BDF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noWrap w:val="0"/>
            <w:vAlign w:val="center"/>
          </w:tcPr>
          <w:p w14:paraId="4918F2D4">
            <w:pPr>
              <w:widowControl/>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943" w:type="pct"/>
            <w:noWrap w:val="0"/>
            <w:vAlign w:val="center"/>
          </w:tcPr>
          <w:p w14:paraId="0DDF7CEC">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纯牛奶</w:t>
            </w:r>
          </w:p>
        </w:tc>
        <w:tc>
          <w:tcPr>
            <w:tcW w:w="1597" w:type="pct"/>
            <w:noWrap w:val="0"/>
            <w:vAlign w:val="center"/>
          </w:tcPr>
          <w:p w14:paraId="4F8133AE">
            <w:pPr>
              <w:widowControl/>
              <w:numPr>
                <w:ilvl w:val="0"/>
                <w:numId w:val="0"/>
              </w:numPr>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1.净含量≥200mL*10瓶</w:t>
            </w:r>
          </w:p>
          <w:p w14:paraId="2ED3298A">
            <w:pPr>
              <w:widowControl/>
              <w:numPr>
                <w:ilvl w:val="0"/>
                <w:numId w:val="0"/>
              </w:numPr>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2.礼盒手提装；</w:t>
            </w:r>
          </w:p>
          <w:p w14:paraId="422A9C53">
            <w:pPr>
              <w:widowControl/>
              <w:numPr>
                <w:ilvl w:val="0"/>
                <w:numId w:val="0"/>
              </w:numPr>
              <w:jc w:val="both"/>
              <w:textAlignment w:val="center"/>
              <w:rPr>
                <w:rFonts w:hint="eastAsia"/>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3.蛋白质含量≥3.0g/100m</w:t>
            </w:r>
            <w:r>
              <w:rPr>
                <w:rFonts w:hint="eastAsia"/>
                <w:color w:val="auto"/>
                <w:highlight w:val="none"/>
                <w:lang w:val="en-US" w:eastAsia="zh-CN"/>
              </w:rPr>
              <w:t>l；</w:t>
            </w:r>
          </w:p>
          <w:p w14:paraId="5A72C54C">
            <w:pPr>
              <w:widowControl/>
              <w:numPr>
                <w:ilvl w:val="0"/>
                <w:numId w:val="0"/>
              </w:numPr>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4.生产日期起保质期≥6个月；</w:t>
            </w:r>
          </w:p>
          <w:p w14:paraId="36FEB9E6">
            <w:pPr>
              <w:widowControl/>
              <w:numPr>
                <w:ilvl w:val="0"/>
                <w:numId w:val="0"/>
              </w:numPr>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5.供货时的生产日期为2025年08月01日以后。</w:t>
            </w:r>
          </w:p>
        </w:tc>
        <w:tc>
          <w:tcPr>
            <w:tcW w:w="484" w:type="pct"/>
            <w:noWrap w:val="0"/>
            <w:vAlign w:val="center"/>
          </w:tcPr>
          <w:p w14:paraId="664D6795">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盒</w:t>
            </w:r>
          </w:p>
        </w:tc>
        <w:tc>
          <w:tcPr>
            <w:tcW w:w="463" w:type="pct"/>
            <w:noWrap w:val="0"/>
            <w:vAlign w:val="center"/>
          </w:tcPr>
          <w:p w14:paraId="78FBB963">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26" w:type="pct"/>
            <w:noWrap w:val="0"/>
            <w:vAlign w:val="center"/>
          </w:tcPr>
          <w:p w14:paraId="362A5EC5">
            <w:pPr>
              <w:widowControl/>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澳牧、兵牧、新农</w:t>
            </w:r>
          </w:p>
        </w:tc>
      </w:tr>
    </w:tbl>
    <w:p w14:paraId="7FD0B683">
      <w:pPr>
        <w:keepNext w:val="0"/>
        <w:keepLines w:val="0"/>
        <w:pageBreakBefore w:val="0"/>
        <w:numPr>
          <w:ilvl w:val="0"/>
          <w:numId w:val="2"/>
        </w:numPr>
        <w:kinsoku/>
        <w:wordWrap/>
        <w:topLinePunct w:val="0"/>
        <w:bidi w:val="0"/>
        <w:spacing w:line="360" w:lineRule="exact"/>
        <w:ind w:left="0" w:firstLine="440" w:firstLineChars="200"/>
        <w:jc w:val="left"/>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以上供货品牌为参考品牌，投标人可选择同等或以上档次品牌，质量不得低于以上品牌；</w:t>
      </w:r>
    </w:p>
    <w:p w14:paraId="45919F32">
      <w:pPr>
        <w:keepNext w:val="0"/>
        <w:keepLines w:val="0"/>
        <w:pageBreakBefore w:val="0"/>
        <w:numPr>
          <w:ilvl w:val="0"/>
          <w:numId w:val="2"/>
        </w:numPr>
        <w:kinsoku/>
        <w:wordWrap/>
        <w:topLinePunct w:val="0"/>
        <w:bidi w:val="0"/>
        <w:spacing w:line="360" w:lineRule="exact"/>
        <w:ind w:left="0"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各投标</w:t>
      </w:r>
      <w:r>
        <w:rPr>
          <w:rFonts w:hint="eastAsia" w:ascii="宋体" w:hAnsi="宋体" w:eastAsia="宋体" w:cs="宋体"/>
          <w:color w:val="auto"/>
          <w:sz w:val="22"/>
          <w:highlight w:val="none"/>
          <w:lang w:val="en-US" w:eastAsia="zh-CN"/>
        </w:rPr>
        <w:t>人</w:t>
      </w:r>
      <w:r>
        <w:rPr>
          <w:rFonts w:hint="eastAsia" w:ascii="宋体" w:hAnsi="宋体" w:eastAsia="宋体" w:cs="宋体"/>
          <w:color w:val="auto"/>
          <w:sz w:val="22"/>
          <w:highlight w:val="none"/>
        </w:rPr>
        <w:t>应按以</w:t>
      </w:r>
      <w:r>
        <w:rPr>
          <w:rFonts w:hint="eastAsia" w:ascii="宋体" w:hAnsi="宋体" w:eastAsia="宋体" w:cs="宋体"/>
          <w:color w:val="auto"/>
          <w:sz w:val="22"/>
          <w:highlight w:val="none"/>
          <w:lang w:val="en-US" w:eastAsia="zh-CN"/>
        </w:rPr>
        <w:t>上</w:t>
      </w:r>
      <w:r>
        <w:rPr>
          <w:rFonts w:hint="eastAsia" w:ascii="宋体" w:hAnsi="宋体" w:eastAsia="宋体" w:cs="宋体"/>
          <w:color w:val="auto"/>
          <w:sz w:val="22"/>
          <w:highlight w:val="none"/>
        </w:rPr>
        <w:t>所列产品规格报价，如未真实报价或报价后不能履约的，应承担应负的违约责任和平台处罚规定；</w:t>
      </w:r>
    </w:p>
    <w:p w14:paraId="476521AB">
      <w:pPr>
        <w:keepNext w:val="0"/>
        <w:keepLines w:val="0"/>
        <w:pageBreakBefore w:val="0"/>
        <w:numPr>
          <w:ilvl w:val="0"/>
          <w:numId w:val="2"/>
        </w:numPr>
        <w:kinsoku/>
        <w:wordWrap/>
        <w:topLinePunct w:val="0"/>
        <w:bidi w:val="0"/>
        <w:spacing w:line="360" w:lineRule="exact"/>
        <w:ind w:left="0"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lang w:val="en-US" w:eastAsia="zh-CN"/>
        </w:rPr>
        <w:t>中标人</w:t>
      </w:r>
      <w:r>
        <w:rPr>
          <w:rFonts w:hint="eastAsia" w:ascii="宋体" w:hAnsi="宋体" w:eastAsia="宋体" w:cs="宋体"/>
          <w:color w:val="auto"/>
          <w:sz w:val="22"/>
          <w:highlight w:val="none"/>
        </w:rPr>
        <w:t>需配送至各网点，应全方位地考虑运输、配送费用</w:t>
      </w:r>
      <w:r>
        <w:rPr>
          <w:rFonts w:hint="eastAsia" w:ascii="宋体" w:hAnsi="宋体" w:eastAsia="宋体" w:cs="宋体"/>
          <w:color w:val="auto"/>
          <w:sz w:val="22"/>
          <w:szCs w:val="22"/>
          <w:highlight w:val="none"/>
          <w:lang w:val="zh-CN"/>
        </w:rPr>
        <w:t>；</w:t>
      </w:r>
    </w:p>
    <w:p w14:paraId="700879BB">
      <w:pPr>
        <w:pStyle w:val="11"/>
        <w:keepNext w:val="0"/>
        <w:keepLines w:val="0"/>
        <w:pageBreakBefore w:val="0"/>
        <w:numPr>
          <w:ilvl w:val="0"/>
          <w:numId w:val="2"/>
        </w:numPr>
        <w:kinsoku/>
        <w:wordWrap/>
        <w:topLinePunct w:val="0"/>
        <w:bidi w:val="0"/>
        <w:spacing w:line="360" w:lineRule="exact"/>
        <w:ind w:left="0" w:firstLine="440" w:firstLineChars="200"/>
        <w:rPr>
          <w:rFonts w:hint="eastAsia" w:ascii="宋体" w:hAnsi="宋体" w:eastAsia="宋体" w:cs="宋体"/>
          <w:color w:val="auto"/>
          <w:kern w:val="2"/>
          <w:sz w:val="22"/>
          <w:szCs w:val="22"/>
          <w:highlight w:val="none"/>
          <w:u w:val="single"/>
        </w:rPr>
      </w:pPr>
      <w:r>
        <w:rPr>
          <w:rFonts w:hint="eastAsia" w:ascii="宋体" w:hAnsi="宋体" w:eastAsia="宋体" w:cs="宋体"/>
          <w:color w:val="auto"/>
          <w:sz w:val="22"/>
          <w:szCs w:val="22"/>
          <w:highlight w:val="none"/>
          <w:u w:val="single"/>
          <w:lang w:val="en-US" w:eastAsia="zh-CN"/>
        </w:rPr>
        <w:t>▲若中标人被教职工投诉达3次以上（且每次投诉均经调查确认情况属实），或中标人出现重大食品安全质量问题（政府部门及机构（如食药局、卫生部门、质检局下属的检测中心）、第三方检测机构以及司法机构等依据相关法律法规和食品安全标准对食品进行检测和判定），由此给采购人造成的全部直接和间接损失应由中标人承担，采购人有权单方面解除本合同，且不承担任何因解除合同而产生的违约责任。</w:t>
      </w:r>
    </w:p>
    <w:p w14:paraId="73CAC565">
      <w:pPr>
        <w:keepNext w:val="0"/>
        <w:keepLines w:val="0"/>
        <w:pageBreakBefore w:val="0"/>
        <w:numPr>
          <w:ilvl w:val="0"/>
          <w:numId w:val="0"/>
        </w:numPr>
        <w:kinsoku/>
        <w:wordWrap/>
        <w:topLinePunct w:val="0"/>
        <w:bidi w:val="0"/>
        <w:snapToGrid w:val="0"/>
        <w:spacing w:line="360" w:lineRule="exact"/>
        <w:ind w:leftChars="0"/>
        <w:jc w:val="left"/>
        <w:rPr>
          <w:rFonts w:hint="eastAsia" w:ascii="宋体" w:hAnsi="宋体" w:eastAsia="宋体" w:cs="宋体"/>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四、样品要求</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3609"/>
        <w:gridCol w:w="1762"/>
        <w:gridCol w:w="1381"/>
        <w:gridCol w:w="1540"/>
      </w:tblGrid>
      <w:tr w14:paraId="2EE8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6" w:type="pct"/>
            <w:noWrap w:val="0"/>
            <w:vAlign w:val="center"/>
          </w:tcPr>
          <w:p w14:paraId="72240044">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序号</w:t>
            </w:r>
          </w:p>
        </w:tc>
        <w:tc>
          <w:tcPr>
            <w:tcW w:w="1811" w:type="pct"/>
            <w:noWrap w:val="0"/>
            <w:vAlign w:val="center"/>
          </w:tcPr>
          <w:p w14:paraId="735F9F97">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样品名称</w:t>
            </w:r>
          </w:p>
        </w:tc>
        <w:tc>
          <w:tcPr>
            <w:tcW w:w="884" w:type="pct"/>
            <w:noWrap w:val="0"/>
            <w:vAlign w:val="center"/>
          </w:tcPr>
          <w:p w14:paraId="5E838FFE">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单位</w:t>
            </w:r>
          </w:p>
        </w:tc>
        <w:tc>
          <w:tcPr>
            <w:tcW w:w="693" w:type="pct"/>
            <w:noWrap w:val="0"/>
            <w:vAlign w:val="center"/>
          </w:tcPr>
          <w:p w14:paraId="2317DD34">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数量</w:t>
            </w:r>
          </w:p>
        </w:tc>
        <w:tc>
          <w:tcPr>
            <w:tcW w:w="773" w:type="pct"/>
            <w:noWrap w:val="0"/>
            <w:vAlign w:val="center"/>
          </w:tcPr>
          <w:p w14:paraId="253D9976">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备注</w:t>
            </w:r>
          </w:p>
        </w:tc>
      </w:tr>
      <w:tr w14:paraId="7206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6" w:type="pct"/>
            <w:noWrap w:val="0"/>
            <w:vAlign w:val="center"/>
          </w:tcPr>
          <w:p w14:paraId="7FD7F40C">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c>
          <w:tcPr>
            <w:tcW w:w="1811" w:type="pct"/>
            <w:noWrap w:val="0"/>
            <w:vAlign w:val="center"/>
          </w:tcPr>
          <w:p w14:paraId="1F409855">
            <w:pPr>
              <w:widowControl/>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葵花橄榄调和油</w:t>
            </w:r>
          </w:p>
        </w:tc>
        <w:tc>
          <w:tcPr>
            <w:tcW w:w="884" w:type="pct"/>
            <w:noWrap w:val="0"/>
            <w:vAlign w:val="center"/>
          </w:tcPr>
          <w:p w14:paraId="34E811D5">
            <w:pPr>
              <w:widowControl/>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份</w:t>
            </w:r>
          </w:p>
        </w:tc>
        <w:tc>
          <w:tcPr>
            <w:tcW w:w="693" w:type="pct"/>
            <w:noWrap w:val="0"/>
            <w:vAlign w:val="center"/>
          </w:tcPr>
          <w:p w14:paraId="0D006FE3">
            <w:pPr>
              <w:widowControl/>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c>
          <w:tcPr>
            <w:tcW w:w="773" w:type="pct"/>
            <w:noWrap w:val="0"/>
            <w:vAlign w:val="center"/>
          </w:tcPr>
          <w:p w14:paraId="2874CF62">
            <w:pPr>
              <w:jc w:val="center"/>
              <w:rPr>
                <w:rFonts w:hint="eastAsia" w:ascii="宋体" w:hAnsi="宋体" w:eastAsia="宋体" w:cs="宋体"/>
                <w:color w:val="auto"/>
                <w:sz w:val="22"/>
                <w:szCs w:val="22"/>
                <w:highlight w:val="none"/>
                <w:vertAlign w:val="baseline"/>
                <w:lang w:val="en-US" w:eastAsia="zh-CN"/>
              </w:rPr>
            </w:pPr>
          </w:p>
        </w:tc>
      </w:tr>
      <w:tr w14:paraId="51A9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6" w:type="pct"/>
            <w:noWrap w:val="0"/>
            <w:vAlign w:val="center"/>
          </w:tcPr>
          <w:p w14:paraId="7EF982BF">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c>
          <w:tcPr>
            <w:tcW w:w="1811" w:type="pct"/>
            <w:noWrap w:val="0"/>
            <w:vAlign w:val="center"/>
          </w:tcPr>
          <w:p w14:paraId="1CAE41AE">
            <w:pPr>
              <w:widowControl/>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大凉山野生苹果</w:t>
            </w:r>
          </w:p>
        </w:tc>
        <w:tc>
          <w:tcPr>
            <w:tcW w:w="884" w:type="pct"/>
            <w:noWrap w:val="0"/>
            <w:vAlign w:val="center"/>
          </w:tcPr>
          <w:p w14:paraId="5859CC5D">
            <w:pPr>
              <w:widowControl/>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箱</w:t>
            </w:r>
          </w:p>
        </w:tc>
        <w:tc>
          <w:tcPr>
            <w:tcW w:w="693" w:type="pct"/>
            <w:noWrap w:val="0"/>
            <w:vAlign w:val="center"/>
          </w:tcPr>
          <w:p w14:paraId="04608D00">
            <w:pPr>
              <w:widowControl/>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c>
          <w:tcPr>
            <w:tcW w:w="773" w:type="pct"/>
            <w:noWrap w:val="0"/>
            <w:vAlign w:val="center"/>
          </w:tcPr>
          <w:p w14:paraId="038A99FF">
            <w:pPr>
              <w:jc w:val="center"/>
              <w:rPr>
                <w:rFonts w:hint="eastAsia" w:ascii="宋体" w:hAnsi="宋体" w:eastAsia="宋体" w:cs="宋体"/>
                <w:color w:val="auto"/>
                <w:sz w:val="22"/>
                <w:szCs w:val="22"/>
                <w:highlight w:val="none"/>
                <w:vertAlign w:val="baseline"/>
                <w:lang w:val="en-US" w:eastAsia="zh-CN"/>
              </w:rPr>
            </w:pPr>
          </w:p>
        </w:tc>
      </w:tr>
      <w:tr w14:paraId="540C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6" w:type="pct"/>
            <w:noWrap w:val="0"/>
            <w:vAlign w:val="center"/>
          </w:tcPr>
          <w:p w14:paraId="1D065CC7">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c>
          <w:tcPr>
            <w:tcW w:w="1811" w:type="pct"/>
            <w:noWrap w:val="0"/>
            <w:vAlign w:val="center"/>
          </w:tcPr>
          <w:p w14:paraId="5C23398E">
            <w:pPr>
              <w:widowControl/>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纯牛奶</w:t>
            </w:r>
          </w:p>
        </w:tc>
        <w:tc>
          <w:tcPr>
            <w:tcW w:w="884" w:type="pct"/>
            <w:noWrap w:val="0"/>
            <w:vAlign w:val="center"/>
          </w:tcPr>
          <w:p w14:paraId="72ED4D33">
            <w:pPr>
              <w:widowControl/>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盒</w:t>
            </w:r>
          </w:p>
        </w:tc>
        <w:tc>
          <w:tcPr>
            <w:tcW w:w="693" w:type="pct"/>
            <w:noWrap w:val="0"/>
            <w:vAlign w:val="center"/>
          </w:tcPr>
          <w:p w14:paraId="58730BEB">
            <w:pPr>
              <w:widowControl/>
              <w:jc w:val="center"/>
              <w:textAlignment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c>
          <w:tcPr>
            <w:tcW w:w="773" w:type="pct"/>
            <w:noWrap w:val="0"/>
            <w:vAlign w:val="center"/>
          </w:tcPr>
          <w:p w14:paraId="61BB5B10">
            <w:pPr>
              <w:jc w:val="center"/>
              <w:rPr>
                <w:rFonts w:hint="eastAsia" w:ascii="宋体" w:hAnsi="宋体" w:eastAsia="宋体" w:cs="宋体"/>
                <w:color w:val="auto"/>
                <w:sz w:val="22"/>
                <w:szCs w:val="22"/>
                <w:highlight w:val="none"/>
                <w:vertAlign w:val="baseline"/>
                <w:lang w:val="en-US" w:eastAsia="zh-CN"/>
              </w:rPr>
            </w:pPr>
          </w:p>
        </w:tc>
      </w:tr>
    </w:tbl>
    <w:p w14:paraId="4755851E">
      <w:pPr>
        <w:keepNext w:val="0"/>
        <w:keepLines w:val="0"/>
        <w:pageBreakBefore w:val="0"/>
        <w:widowControl w:val="0"/>
        <w:kinsoku/>
        <w:wordWrap/>
        <w:overflowPunct/>
        <w:topLinePunct w:val="0"/>
        <w:bidi w:val="0"/>
        <w:snapToGrid/>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w:t>
      </w:r>
    </w:p>
    <w:p w14:paraId="50096B84">
      <w:pPr>
        <w:keepNext w:val="0"/>
        <w:keepLines w:val="0"/>
        <w:pageBreakBefore w:val="0"/>
        <w:widowControl w:val="0"/>
        <w:numPr>
          <w:ilvl w:val="0"/>
          <w:numId w:val="3"/>
        </w:numPr>
        <w:kinsoku/>
        <w:wordWrap/>
        <w:overflowPunct/>
        <w:topLinePunct w:val="0"/>
        <w:bidi w:val="0"/>
        <w:snapToGrid/>
        <w:spacing w:line="360" w:lineRule="exact"/>
        <w:ind w:left="0" w:leftChars="0" w:firstLine="400" w:firstLine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未提供样品或提供的样品不符招标文件技术要求的样品不得分。</w:t>
      </w:r>
    </w:p>
    <w:p w14:paraId="131E024B">
      <w:pPr>
        <w:keepNext w:val="0"/>
        <w:keepLines w:val="0"/>
        <w:pageBreakBefore w:val="0"/>
        <w:widowControl w:val="0"/>
        <w:numPr>
          <w:ilvl w:val="0"/>
          <w:numId w:val="3"/>
        </w:numPr>
        <w:kinsoku/>
        <w:wordWrap/>
        <w:overflowPunct/>
        <w:topLinePunct w:val="0"/>
        <w:bidi w:val="0"/>
        <w:snapToGrid/>
        <w:spacing w:line="360" w:lineRule="exact"/>
        <w:ind w:left="0" w:leftChars="0" w:firstLine="400" w:firstLine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样品递交时间：样品请于开标当日</w:t>
      </w:r>
      <w:r>
        <w:rPr>
          <w:rFonts w:hint="eastAsia" w:ascii="宋体" w:hAnsi="宋体" w:eastAsia="宋体" w:cs="宋体"/>
          <w:b/>
          <w:bCs/>
          <w:color w:val="auto"/>
          <w:sz w:val="22"/>
          <w:szCs w:val="22"/>
          <w:highlight w:val="none"/>
          <w:lang w:eastAsia="zh-CN"/>
        </w:rPr>
        <w:t>响应</w:t>
      </w:r>
      <w:r>
        <w:rPr>
          <w:rFonts w:hint="eastAsia" w:ascii="宋体" w:hAnsi="宋体" w:eastAsia="宋体" w:cs="宋体"/>
          <w:b/>
          <w:bCs/>
          <w:color w:val="auto"/>
          <w:sz w:val="22"/>
          <w:szCs w:val="22"/>
          <w:highlight w:val="none"/>
        </w:rPr>
        <w:t>文件提交截止时间前，</w:t>
      </w:r>
      <w:r>
        <w:rPr>
          <w:rFonts w:hint="eastAsia" w:ascii="宋体" w:hAnsi="宋体" w:eastAsia="宋体" w:cs="宋体"/>
          <w:b/>
          <w:bCs/>
          <w:color w:val="auto"/>
          <w:sz w:val="22"/>
          <w:szCs w:val="22"/>
          <w:highlight w:val="none"/>
          <w:lang w:val="en-US" w:eastAsia="zh-CN"/>
        </w:rPr>
        <w:t>和响应文件一起</w:t>
      </w:r>
      <w:r>
        <w:rPr>
          <w:rFonts w:hint="eastAsia" w:ascii="宋体" w:hAnsi="宋体" w:eastAsia="宋体" w:cs="宋体"/>
          <w:b/>
          <w:bCs/>
          <w:color w:val="auto"/>
          <w:sz w:val="22"/>
          <w:szCs w:val="22"/>
          <w:highlight w:val="none"/>
        </w:rPr>
        <w:t>交由采购代理机构，</w:t>
      </w:r>
      <w:r>
        <w:rPr>
          <w:rFonts w:hint="eastAsia" w:ascii="宋体" w:hAnsi="宋体" w:eastAsia="宋体" w:cs="宋体"/>
          <w:b/>
          <w:bCs/>
          <w:color w:val="auto"/>
          <w:sz w:val="22"/>
          <w:szCs w:val="22"/>
          <w:highlight w:val="none"/>
          <w:lang w:eastAsia="zh-CN"/>
        </w:rPr>
        <w:t>标注</w:t>
      </w:r>
      <w:r>
        <w:rPr>
          <w:rFonts w:hint="eastAsia" w:ascii="宋体" w:hAnsi="宋体" w:eastAsia="宋体" w:cs="宋体"/>
          <w:b/>
          <w:bCs/>
          <w:color w:val="auto"/>
          <w:sz w:val="22"/>
          <w:szCs w:val="22"/>
          <w:highlight w:val="none"/>
        </w:rPr>
        <w:t>项目名称及公司名称，</w:t>
      </w:r>
      <w:r>
        <w:rPr>
          <w:rFonts w:hint="eastAsia" w:ascii="宋体" w:hAnsi="宋体" w:eastAsia="宋体" w:cs="宋体"/>
          <w:b/>
          <w:bCs/>
          <w:color w:val="auto"/>
          <w:sz w:val="22"/>
          <w:szCs w:val="22"/>
          <w:highlight w:val="none"/>
          <w:lang w:val="en-US" w:eastAsia="zh-CN"/>
        </w:rPr>
        <w:t>未按规定地点和</w:t>
      </w:r>
      <w:r>
        <w:rPr>
          <w:rFonts w:hint="eastAsia" w:ascii="宋体" w:hAnsi="宋体" w:eastAsia="宋体" w:cs="宋体"/>
          <w:b/>
          <w:bCs/>
          <w:color w:val="auto"/>
          <w:sz w:val="22"/>
          <w:szCs w:val="22"/>
          <w:highlight w:val="none"/>
        </w:rPr>
        <w:t>时间送达的予以拒收。</w:t>
      </w:r>
    </w:p>
    <w:p w14:paraId="7E2B06BC">
      <w:pPr>
        <w:keepNext w:val="0"/>
        <w:keepLines w:val="0"/>
        <w:pageBreakBefore w:val="0"/>
        <w:widowControl w:val="0"/>
        <w:numPr>
          <w:ilvl w:val="0"/>
          <w:numId w:val="3"/>
        </w:numPr>
        <w:kinsoku/>
        <w:wordWrap/>
        <w:overflowPunct/>
        <w:topLinePunct w:val="0"/>
        <w:bidi w:val="0"/>
        <w:snapToGrid/>
        <w:spacing w:line="360" w:lineRule="exact"/>
        <w:ind w:left="0" w:leftChars="0" w:firstLine="400" w:firstLine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样品递交地点：温州市瓯海区三垟街道桥头河大桥温州生命健康小镇B03。</w:t>
      </w:r>
    </w:p>
    <w:p w14:paraId="6154A789">
      <w:pPr>
        <w:keepNext w:val="0"/>
        <w:keepLines w:val="0"/>
        <w:pageBreakBefore w:val="0"/>
        <w:widowControl w:val="0"/>
        <w:numPr>
          <w:ilvl w:val="0"/>
          <w:numId w:val="3"/>
        </w:numPr>
        <w:kinsoku/>
        <w:wordWrap/>
        <w:overflowPunct/>
        <w:topLinePunct w:val="0"/>
        <w:bidi w:val="0"/>
        <w:snapToGrid/>
        <w:spacing w:line="360" w:lineRule="exact"/>
        <w:ind w:left="0" w:leftChars="0" w:firstLine="400" w:firstLineChars="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投标人的样品在</w:t>
      </w:r>
      <w:r>
        <w:rPr>
          <w:rFonts w:hint="eastAsia" w:ascii="宋体" w:hAnsi="宋体" w:eastAsia="宋体" w:cs="宋体"/>
          <w:b/>
          <w:bCs/>
          <w:color w:val="auto"/>
          <w:sz w:val="22"/>
          <w:szCs w:val="22"/>
          <w:highlight w:val="none"/>
          <w:lang w:val="en-US" w:eastAsia="zh-CN"/>
        </w:rPr>
        <w:t>评审结束后1</w:t>
      </w:r>
      <w:r>
        <w:rPr>
          <w:rFonts w:hint="eastAsia" w:ascii="宋体" w:hAnsi="宋体" w:eastAsia="宋体" w:cs="宋体"/>
          <w:b/>
          <w:bCs/>
          <w:color w:val="auto"/>
          <w:sz w:val="22"/>
          <w:szCs w:val="22"/>
          <w:highlight w:val="none"/>
        </w:rPr>
        <w:t>个工作日</w:t>
      </w:r>
      <w:r>
        <w:rPr>
          <w:rFonts w:hint="eastAsia" w:ascii="宋体" w:hAnsi="宋体" w:eastAsia="宋体" w:cs="宋体"/>
          <w:b/>
          <w:bCs/>
          <w:color w:val="auto"/>
          <w:sz w:val="22"/>
          <w:szCs w:val="22"/>
          <w:highlight w:val="none"/>
          <w:lang w:val="en-US" w:eastAsia="zh-CN"/>
        </w:rPr>
        <w:t>内</w:t>
      </w:r>
      <w:r>
        <w:rPr>
          <w:rFonts w:hint="eastAsia" w:ascii="宋体" w:hAnsi="宋体" w:eastAsia="宋体" w:cs="宋体"/>
          <w:b/>
          <w:bCs/>
          <w:color w:val="auto"/>
          <w:sz w:val="22"/>
          <w:szCs w:val="22"/>
          <w:highlight w:val="none"/>
        </w:rPr>
        <w:t>自行撤回，逾期未撤回采购人有权自行处置。评审小组评审样品分时可能对样品进行破坏性试验，如样品遭到破坏导致的损失由投标人自行承担，投标时请充分考虑当中风险。</w:t>
      </w:r>
    </w:p>
    <w:p w14:paraId="3632BF64">
      <w:pPr>
        <w:keepNext w:val="0"/>
        <w:keepLines w:val="0"/>
        <w:pageBreakBefore w:val="0"/>
        <w:kinsoku/>
        <w:wordWrap/>
        <w:topLinePunct w:val="0"/>
        <w:bidi w:val="0"/>
        <w:snapToGrid w:val="0"/>
        <w:spacing w:line="360" w:lineRule="exact"/>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lang w:val="en-US" w:eastAsia="zh-CN"/>
        </w:rPr>
        <w:t>五</w:t>
      </w:r>
      <w:r>
        <w:rPr>
          <w:rFonts w:hint="eastAsia" w:ascii="宋体" w:hAnsi="宋体" w:eastAsia="宋体" w:cs="宋体"/>
          <w:b/>
          <w:bCs/>
          <w:color w:val="auto"/>
          <w:spacing w:val="-6"/>
          <w:sz w:val="22"/>
          <w:szCs w:val="22"/>
          <w:highlight w:val="none"/>
        </w:rPr>
        <w:t>、其他</w:t>
      </w:r>
    </w:p>
    <w:p w14:paraId="2A3E747C">
      <w:pPr>
        <w:keepNext w:val="0"/>
        <w:keepLines w:val="0"/>
        <w:pageBreakBefore w:val="0"/>
        <w:kinsoku/>
        <w:wordWrap/>
        <w:topLinePunct w:val="0"/>
        <w:bidi w:val="0"/>
        <w:snapToGrid w:val="0"/>
        <w:spacing w:line="360" w:lineRule="exact"/>
        <w:ind w:firstLine="418" w:firstLineChars="20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1.除招标文件中所明确的采购需求外，欢迎其他能满足本项目采购需求且性所明确采购需求的产品参加投标报价。同时在采购需求偏离表中作出详细对比说明。</w:t>
      </w:r>
    </w:p>
    <w:p w14:paraId="4573D019">
      <w:pPr>
        <w:keepNext w:val="0"/>
        <w:keepLines w:val="0"/>
        <w:pageBreakBefore w:val="0"/>
        <w:kinsoku/>
        <w:wordWrap/>
        <w:topLinePunct w:val="0"/>
        <w:bidi w:val="0"/>
        <w:snapToGrid w:val="0"/>
        <w:spacing w:line="360" w:lineRule="exact"/>
        <w:ind w:firstLine="418" w:firstLineChars="20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2.带“▲且加下划线”的有关条款为实质性条款，投标人必须做出实质性响应，不允许负偏离，出现负偏离的将导致投标无效。</w:t>
      </w:r>
    </w:p>
    <w:p w14:paraId="136FF65B">
      <w:pPr>
        <w:keepNext w:val="0"/>
        <w:keepLines w:val="0"/>
        <w:pageBreakBefore w:val="0"/>
        <w:kinsoku/>
        <w:wordWrap/>
        <w:topLinePunct w:val="0"/>
        <w:bidi w:val="0"/>
        <w:snapToGrid w:val="0"/>
        <w:spacing w:line="360" w:lineRule="exact"/>
        <w:ind w:firstLine="418" w:firstLineChars="20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3.如技术要求中未特别注明需执行的国家相关标准、行业标准、地方标准或者其他标准、规范，则统一执行最新标准、规范。</w:t>
      </w:r>
    </w:p>
    <w:p w14:paraId="3F577ED2">
      <w:pPr>
        <w:keepNext w:val="0"/>
        <w:keepLines w:val="0"/>
        <w:pageBreakBefore w:val="0"/>
        <w:kinsoku/>
        <w:wordWrap/>
        <w:topLinePunct w:val="0"/>
        <w:bidi w:val="0"/>
        <w:snapToGrid w:val="0"/>
        <w:spacing w:line="360" w:lineRule="exact"/>
        <w:ind w:firstLine="418" w:firstLineChars="200"/>
        <w:jc w:val="left"/>
        <w:rPr>
          <w:rFonts w:hint="eastAsia" w:ascii="宋体" w:hAnsi="宋体" w:eastAsia="宋体" w:cs="宋体"/>
          <w:b/>
          <w:color w:val="auto"/>
          <w:sz w:val="22"/>
          <w:szCs w:val="22"/>
          <w:highlight w:val="none"/>
        </w:rPr>
      </w:pPr>
      <w:r>
        <w:rPr>
          <w:rFonts w:hint="eastAsia" w:ascii="宋体" w:hAnsi="宋体" w:eastAsia="宋体" w:cs="宋体"/>
          <w:b/>
          <w:bCs/>
          <w:color w:val="auto"/>
          <w:spacing w:val="-6"/>
          <w:sz w:val="22"/>
          <w:szCs w:val="22"/>
          <w:highlight w:val="none"/>
        </w:rPr>
        <w:t>4.技术部分中需要提供的证明材料有有效期的必须在有效期内，否则视为未提供。</w:t>
      </w:r>
    </w:p>
    <w:p w14:paraId="34EDE272">
      <w:bookmarkStart w:id="4" w:name="_GoBack"/>
      <w:bookmarkEnd w:id="4"/>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1D01E2"/>
    <w:multiLevelType w:val="singleLevel"/>
    <w:tmpl w:val="F11D01E2"/>
    <w:lvl w:ilvl="0" w:tentative="0">
      <w:start w:val="1"/>
      <w:numFmt w:val="decimalEnclosedCircleChinese"/>
      <w:suff w:val="nothing"/>
      <w:lvlText w:val="%1　"/>
      <w:lvlJc w:val="left"/>
      <w:pPr>
        <w:ind w:left="0" w:firstLine="400"/>
      </w:pPr>
      <w:rPr>
        <w:rFonts w:hint="eastAsia"/>
      </w:rPr>
    </w:lvl>
  </w:abstractNum>
  <w:abstractNum w:abstractNumId="1">
    <w:nsid w:val="1DE1CA15"/>
    <w:multiLevelType w:val="singleLevel"/>
    <w:tmpl w:val="1DE1CA15"/>
    <w:lvl w:ilvl="0" w:tentative="0">
      <w:start w:val="1"/>
      <w:numFmt w:val="decimal"/>
      <w:lvlText w:val="%1."/>
      <w:lvlJc w:val="left"/>
      <w:pPr>
        <w:ind w:left="425" w:hanging="425"/>
      </w:pPr>
      <w:rPr>
        <w:rFonts w:hint="default"/>
      </w:rPr>
    </w:lvl>
  </w:abstractNum>
  <w:abstractNum w:abstractNumId="2">
    <w:nsid w:val="3FE7B152"/>
    <w:multiLevelType w:val="singleLevel"/>
    <w:tmpl w:val="3FE7B152"/>
    <w:lvl w:ilvl="0" w:tentative="0">
      <w:start w:val="2"/>
      <w:numFmt w:val="chineseCounting"/>
      <w:suff w:val="space"/>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E5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autoSpaceDE w:val="0"/>
      <w:autoSpaceDN w:val="0"/>
      <w:adjustRightInd w:val="0"/>
      <w:ind w:firstLine="420" w:firstLineChars="100"/>
      <w:jc w:val="left"/>
    </w:pPr>
    <w:rPr>
      <w:rFonts w:ascii="仿宋_GB2312"/>
      <w:b/>
      <w:kern w:val="0"/>
      <w:sz w:val="32"/>
      <w:szCs w:val="32"/>
    </w:rPr>
  </w:style>
  <w:style w:type="paragraph" w:styleId="3">
    <w:name w:val="Body Text"/>
    <w:basedOn w:val="1"/>
    <w:next w:val="2"/>
    <w:qFormat/>
    <w:uiPriority w:val="0"/>
    <w:pPr>
      <w:spacing w:after="120"/>
    </w:pPr>
  </w:style>
  <w:style w:type="paragraph" w:styleId="4">
    <w:name w:val="toc 6"/>
    <w:basedOn w:val="1"/>
    <w:next w:val="1"/>
    <w:qFormat/>
    <w:uiPriority w:val="0"/>
    <w:pPr>
      <w:autoSpaceDE w:val="0"/>
      <w:autoSpaceDN w:val="0"/>
      <w:adjustRightInd w:val="0"/>
      <w:ind w:left="2100" w:leftChars="1000"/>
      <w:jc w:val="left"/>
    </w:pPr>
    <w:rPr>
      <w:kern w:val="0"/>
      <w:sz w:val="20"/>
    </w:rPr>
  </w:style>
  <w:style w:type="paragraph" w:styleId="5">
    <w:name w:val="annotation text"/>
    <w:basedOn w:val="1"/>
    <w:qFormat/>
    <w:uiPriority w:val="0"/>
    <w:pPr>
      <w:jc w:val="left"/>
    </w:pPr>
  </w:style>
  <w:style w:type="paragraph" w:styleId="6">
    <w:name w:val="Plain Text"/>
    <w:basedOn w:val="1"/>
    <w:next w:val="7"/>
    <w:qFormat/>
    <w:uiPriority w:val="0"/>
    <w:pPr>
      <w:widowControl/>
      <w:overflowPunct w:val="0"/>
      <w:autoSpaceDE w:val="0"/>
      <w:autoSpaceDN w:val="0"/>
      <w:adjustRightInd w:val="0"/>
      <w:jc w:val="left"/>
      <w:textAlignment w:val="baseline"/>
    </w:pPr>
    <w:rPr>
      <w:rFonts w:ascii="宋体" w:hAnsi="Courier New"/>
      <w:sz w:val="24"/>
    </w:rPr>
  </w:style>
  <w:style w:type="paragraph" w:styleId="7">
    <w:name w:val="toc 2"/>
    <w:basedOn w:val="1"/>
    <w:next w:val="1"/>
    <w:qFormat/>
    <w:uiPriority w:val="39"/>
    <w:pPr>
      <w:tabs>
        <w:tab w:val="right" w:leader="dot" w:pos="8302"/>
      </w:tabs>
      <w:ind w:leftChars="200"/>
    </w:pPr>
    <w:rPr>
      <w:b/>
      <w:sz w:val="24"/>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表格文字"/>
    <w:basedOn w:val="6"/>
    <w:next w:val="3"/>
    <w:qFormat/>
    <w:uiPriority w:val="0"/>
    <w:pPr>
      <w:adjustRightInd w:val="0"/>
      <w:spacing w:line="420" w:lineRule="atLeast"/>
      <w:jc w:val="left"/>
      <w:textAlignment w:val="baseline"/>
    </w:pPr>
    <w:rPr>
      <w:kern w:val="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2025-07-02T05:57:52Z</dcterms:created>
  <dc:creator>admin</dc:creator>
  <cp:lastModifiedBy>博文</cp:lastModifiedBy>
  <dcterms:modified xsi:type="dcterms:W3CDTF">2025-07-02T05:58:15Z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eyJoZGlkIjoiZjNiM2I2MmI4NjhmYmM5MGQ0ODZkZThlZWQ2MmVmYjUiLCJ1c2VySWQiOiI4OTY0OTM2NzUifQ==</vt:lpwstr>
  </property>
  <property fmtid="{D5CDD505-2E9C-101B-9397-08002B2CF9AE}" pid="4" name="ICV">
    <vt:lpwstr>41DAC7197AED448C9CE988A6D5C9CF9E_12</vt:lpwstr>
  </property>
</Properties>
</file>