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C40D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124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项目申报具体要求和相关注意事项</w:t>
      </w:r>
    </w:p>
    <w:p w14:paraId="6547E6A8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FE32FB6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7972D1A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5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一、申报单位要求</w:t>
      </w:r>
    </w:p>
    <w:p w14:paraId="35970C47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95" w:firstLine="658"/>
        <w:textAlignment w:val="baseline"/>
      </w:pPr>
      <w:r>
        <w:rPr>
          <w:rFonts w:ascii="Times New Roman" w:hAnsi="Times New Roman" w:eastAsia="Times New Roman" w:cs="Times New Roman"/>
          <w:b/>
          <w:bCs/>
          <w:spacing w:val="7"/>
        </w:rPr>
        <w:t>1</w:t>
      </w:r>
      <w:r>
        <w:rPr>
          <w:b/>
          <w:bCs/>
          <w:spacing w:val="7"/>
        </w:rPr>
        <w:t>．基本条件要求。</w:t>
      </w:r>
      <w:r>
        <w:rPr>
          <w:spacing w:val="7"/>
        </w:rPr>
        <w:t>申报单位和参与单位应为具有独立法人</w:t>
      </w:r>
      <w:r>
        <w:rPr>
          <w:spacing w:val="5"/>
        </w:rPr>
        <w:t>资格、运行管理规范且具有较强科研能力和条件的高等学校、科</w:t>
      </w:r>
      <w:r>
        <w:rPr>
          <w:spacing w:val="6"/>
        </w:rPr>
        <w:t>研院所、医疗卫生机构、新型研发机构和企业等</w:t>
      </w:r>
      <w:r>
        <w:rPr>
          <w:spacing w:val="5"/>
        </w:rPr>
        <w:t>，具有相应的研发能力、研发投入和研发条件。申报单位和需拨付财政经费的参</w:t>
      </w:r>
      <w:r>
        <w:rPr>
          <w:spacing w:val="9"/>
        </w:rPr>
        <w:t>与单位应为在浙注册单位。政府机关不得牵头或参与申报。</w:t>
      </w:r>
    </w:p>
    <w:p w14:paraId="3F312081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44"/>
        <w:textAlignment w:val="baseline"/>
      </w:pPr>
      <w:r>
        <w:rPr>
          <w:rFonts w:ascii="Times New Roman" w:hAnsi="Times New Roman" w:eastAsia="Times New Roman" w:cs="Times New Roman"/>
          <w:b/>
          <w:bCs/>
          <w:spacing w:val="6"/>
        </w:rPr>
        <w:t>2</w:t>
      </w:r>
      <w:r>
        <w:rPr>
          <w:b/>
          <w:bCs/>
          <w:spacing w:val="6"/>
        </w:rPr>
        <w:t>．科技创新平台基地要求。</w:t>
      </w:r>
    </w:p>
    <w:p w14:paraId="05B31CCC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8" w:firstLine="622"/>
        <w:textAlignment w:val="baseline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）申报单位原则上应建有纳入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白名单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的国家级、部级、</w:t>
      </w:r>
      <w:r>
        <w:rPr>
          <w:spacing w:val="-3"/>
        </w:rPr>
        <w:t>省级、部门科技创新平台基地，平台基地应与申报项目领域相关。</w:t>
      </w:r>
    </w:p>
    <w:p w14:paraId="2C4D730B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2" w:firstLine="642"/>
        <w:jc w:val="both"/>
        <w:textAlignment w:val="baseline"/>
        <w:rPr>
          <w:spacing w:val="8"/>
        </w:rPr>
      </w:pPr>
      <w:r>
        <w:rPr>
          <w:rFonts w:ascii="KaiTi_GB2312" w:hAnsi="KaiTi_GB2312" w:eastAsia="KaiTi_GB2312" w:cs="KaiTi_GB2312"/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KaiTi_GB2312" w:hAnsi="KaiTi_GB2312" w:eastAsia="KaiTi_GB2312" w:cs="KaiTi_GB2312"/>
          <w:spacing w:val="9"/>
        </w:rPr>
        <w:t>）</w:t>
      </w:r>
      <w:r>
        <w:rPr>
          <w:spacing w:val="9"/>
        </w:rPr>
        <w:t>未建有纳入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白名单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创新平台基地的，申报单位应牵</w:t>
      </w:r>
      <w:r>
        <w:rPr>
          <w:spacing w:val="12"/>
        </w:rPr>
        <w:t>头承担国家重大科技任务（</w:t>
      </w:r>
      <w:r>
        <w:rPr>
          <w:rFonts w:ascii="Times New Roman" w:hAnsi="Times New Roman" w:eastAsia="Times New Roman" w:cs="Times New Roman"/>
          <w:spacing w:val="12"/>
        </w:rPr>
        <w:t>2021</w:t>
      </w:r>
      <w:r>
        <w:rPr>
          <w:spacing w:val="12"/>
        </w:rPr>
        <w:t>年以来立项的国家重点研发计</w:t>
      </w:r>
      <w:r>
        <w:rPr>
          <w:spacing w:val="5"/>
        </w:rPr>
        <w:t>划项目〔含项目、课题〕、国家科技重大专项项目〔含项目、课</w:t>
      </w:r>
      <w:r>
        <w:rPr>
          <w:spacing w:val="-6"/>
        </w:rPr>
        <w:t>题〕、国家自然科学基金项目〔含项目、课题〕）。企业申报项目</w:t>
      </w:r>
      <w:r>
        <w:rPr>
          <w:spacing w:val="5"/>
        </w:rPr>
        <w:t>的，国家重大科技任务应为申报单位牵头承担；其他单位申报项目的，国家重大科技任务应为项目负责人主持承担。承担的国家</w:t>
      </w:r>
      <w:r>
        <w:rPr>
          <w:spacing w:val="8"/>
        </w:rPr>
        <w:t>重大科技任务应与申报项目领域相关。</w:t>
      </w:r>
    </w:p>
    <w:p w14:paraId="3BDEC11B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2" w:firstLine="642"/>
        <w:jc w:val="both"/>
        <w:textAlignment w:val="baseline"/>
      </w:pPr>
      <w:r>
        <w:rPr>
          <w:rFonts w:ascii="Times New Roman" w:hAnsi="Times New Roman" w:eastAsia="Times New Roman" w:cs="Times New Roman"/>
          <w:b/>
          <w:bCs/>
          <w:spacing w:val="10"/>
        </w:rPr>
        <w:t>3</w:t>
      </w:r>
      <w:r>
        <w:rPr>
          <w:b/>
          <w:bCs/>
          <w:spacing w:val="10"/>
        </w:rPr>
        <w:t>．项目负责人要求。</w:t>
      </w:r>
      <w:bookmarkStart w:id="0" w:name="_GoBack"/>
      <w:bookmarkEnd w:id="0"/>
      <w:r>
        <w:rPr>
          <w:spacing w:val="10"/>
        </w:rPr>
        <w:t>项目负责人原则上应为申报单位在职</w:t>
      </w:r>
      <w:r>
        <w:rPr>
          <w:spacing w:val="5"/>
        </w:rPr>
        <w:t>人员，具有领导和组织开展创新性研究的能力，且为该任务主体研究思路的提出者和实际主持研究的科技人员，项目实施期间应</w:t>
      </w:r>
      <w:r>
        <w:rPr>
          <w:spacing w:val="8"/>
        </w:rPr>
        <w:t>确保攻关任务稳定持续推进。</w:t>
      </w:r>
    </w:p>
    <w:p w14:paraId="17E090F1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1" w:firstLine="630"/>
        <w:textAlignment w:val="baseline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）申报单位应积极吸纳</w:t>
      </w:r>
      <w:r>
        <w:rPr>
          <w:rFonts w:ascii="Times New Roman" w:hAnsi="Times New Roman" w:eastAsia="Times New Roman" w:cs="Times New Roman"/>
          <w:spacing w:val="7"/>
        </w:rPr>
        <w:t>40</w:t>
      </w:r>
      <w:r>
        <w:rPr>
          <w:spacing w:val="7"/>
        </w:rPr>
        <w:t>周岁以下青年和女性科研人员</w:t>
      </w:r>
      <w:r>
        <w:rPr>
          <w:spacing w:val="5"/>
        </w:rPr>
        <w:t>参与项目研发，鼓励有能力的青年和女性科研人员作为项目负责</w:t>
      </w:r>
      <w:r>
        <w:rPr>
          <w:spacing w:val="7"/>
        </w:rPr>
        <w:t>人领衔担纲承担任务。</w:t>
      </w:r>
    </w:p>
    <w:p w14:paraId="69D86F27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7" w:right="2" w:firstLine="624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）如为科技副总、产业教授、双聘人才等非申报单位在</w:t>
      </w:r>
      <w:r>
        <w:rPr>
          <w:spacing w:val="5"/>
        </w:rPr>
        <w:t>职人员的，应由申报单位出具赋予项目负责人管理项目实施权限</w:t>
      </w:r>
      <w:r>
        <w:rPr>
          <w:spacing w:val="11"/>
        </w:rPr>
        <w:t>的授权书。如为科技副总，需已在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浙江省高层次人才互聘共享</w:t>
      </w:r>
      <w:r>
        <w:rPr>
          <w:spacing w:val="8"/>
        </w:rPr>
        <w:t>数字服务平台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备案，并附件上传在库截图、三方合作协议。</w:t>
      </w:r>
    </w:p>
    <w:p w14:paraId="083B7762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3" w:firstLine="637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）依托科技创新平台基地申报的，项目负责人应同时为</w:t>
      </w:r>
      <w:r>
        <w:rPr>
          <w:spacing w:val="5"/>
        </w:rPr>
        <w:t>平台基地成员。如为科技副总、产业教授、双聘人才等非申报单位在职人员的，应由申报单位出具赋予其牵头协调和使用平台基</w:t>
      </w:r>
      <w:r>
        <w:rPr>
          <w:spacing w:val="8"/>
        </w:rPr>
        <w:t>地研发资源的授权书。</w:t>
      </w:r>
    </w:p>
    <w:p w14:paraId="7732D085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4" w:right="2" w:firstLine="636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）项目负责人在项目实施期内将到达法定退休年龄的，</w:t>
      </w:r>
      <w:r>
        <w:rPr>
          <w:spacing w:val="5"/>
        </w:rPr>
        <w:t>原则上不得申报；如确需申报的，应由单位出具允许申报且能确保项目履约实施的承诺书（如返聘、延迟退休等）。“尖兵”项</w:t>
      </w:r>
      <w:r>
        <w:rPr>
          <w:spacing w:val="7"/>
        </w:rPr>
        <w:t>目申报无年龄要求。</w:t>
      </w:r>
    </w:p>
    <w:p w14:paraId="0ECBC42B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5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）参与“尖兵”“领雁”项目实施方案编制、年度项目</w:t>
      </w:r>
      <w:r>
        <w:rPr>
          <w:spacing w:val="5"/>
        </w:rPr>
        <w:t>榜单（指南）编制的专家，原则上不得申请（含牵头和参与）该</w:t>
      </w:r>
      <w:r>
        <w:rPr>
          <w:spacing w:val="3"/>
        </w:rPr>
        <w:t>专项项目。</w:t>
      </w:r>
    </w:p>
    <w:p w14:paraId="31C3387F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53" w:right="38" w:firstLine="585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6</w:t>
      </w:r>
      <w:r>
        <w:rPr>
          <w:spacing w:val="11"/>
        </w:rPr>
        <w:t>）符合条件的专业技术类公务员，经批准可以参加项目</w:t>
      </w:r>
      <w:r>
        <w:rPr>
          <w:spacing w:val="-14"/>
        </w:rPr>
        <w:t>申报。</w:t>
      </w:r>
    </w:p>
    <w:p w14:paraId="3A633EF3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55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二、限项申报要求</w:t>
      </w:r>
    </w:p>
    <w:p w14:paraId="1B5BE4B1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36" w:firstLine="671"/>
        <w:textAlignment w:val="baseline"/>
      </w:pP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．项目负责人，主持在研的各类省级科技计划项目数原则</w:t>
      </w:r>
      <w:r>
        <w:rPr>
          <w:spacing w:val="4"/>
        </w:rPr>
        <w:t>上不超过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项；同年度获资助的各类省级科技计划项目原则上不</w:t>
      </w:r>
      <w:r>
        <w:rPr>
          <w:spacing w:val="-6"/>
        </w:rPr>
        <w:t>超过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项。</w:t>
      </w:r>
    </w:p>
    <w:p w14:paraId="10DD0D42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2" w:firstLine="628"/>
        <w:textAlignment w:val="baseline"/>
      </w:pPr>
      <w:r>
        <w:rPr>
          <w:rFonts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．项目主要参与人（除项目负责人外，排名前</w:t>
      </w:r>
      <w:r>
        <w:rPr>
          <w:rFonts w:ascii="Times New Roman" w:hAnsi="Times New Roman" w:eastAsia="Times New Roman" w:cs="Times New Roman"/>
          <w:spacing w:val="12"/>
        </w:rPr>
        <w:t>3</w:t>
      </w:r>
      <w:r>
        <w:rPr>
          <w:spacing w:val="12"/>
        </w:rPr>
        <w:t>参与人</w:t>
      </w:r>
      <w:r>
        <w:rPr>
          <w:spacing w:val="-108"/>
        </w:rPr>
        <w:t>），</w:t>
      </w:r>
      <w:r>
        <w:rPr>
          <w:spacing w:val="6"/>
        </w:rPr>
        <w:t>参与在研项目数不超过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项。</w:t>
      </w:r>
    </w:p>
    <w:p w14:paraId="32C8EFCB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38" w:firstLine="646"/>
        <w:textAlignment w:val="baseline"/>
      </w:pP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．同一企业牵头承担在研项目数一般为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spacing w:val="13"/>
        </w:rPr>
        <w:t>项（创新联合体</w:t>
      </w:r>
      <w:r>
        <w:rPr>
          <w:spacing w:val="8"/>
        </w:rPr>
        <w:t>牵头企业、科技领军企业承担在研项目数原则上不超过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项）。</w:t>
      </w:r>
      <w:r>
        <w:rPr>
          <w:spacing w:val="3"/>
        </w:rPr>
        <w:t>大型企业（规上企业）牵头承担的项目应联合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家及以上的中小</w:t>
      </w:r>
      <w:r>
        <w:rPr>
          <w:spacing w:val="8"/>
        </w:rPr>
        <w:t>微企业参加，并配套相应研发经费。</w:t>
      </w:r>
    </w:p>
    <w:p w14:paraId="6297CDF2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58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三、资金要求</w:t>
      </w:r>
    </w:p>
    <w:p w14:paraId="64C85B2F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1" w:right="38" w:firstLine="660"/>
        <w:textAlignment w:val="baseline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联合出资要求。鼓励市县、高校院所、新</w:t>
      </w:r>
      <w:r>
        <w:rPr>
          <w:spacing w:val="6"/>
        </w:rPr>
        <w:t>型研发机构、社</w:t>
      </w:r>
      <w:r>
        <w:rPr>
          <w:spacing w:val="5"/>
        </w:rPr>
        <w:t>会资本等共同投入、协同攻关，联合出资、联动投入情况作为评</w:t>
      </w:r>
      <w:r>
        <w:rPr>
          <w:spacing w:val="6"/>
        </w:rPr>
        <w:t>审立项的重要因素。</w:t>
      </w:r>
    </w:p>
    <w:p w14:paraId="2ED8F9A1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11"/>
        <w:jc w:val="both"/>
        <w:textAlignment w:val="baseline"/>
      </w:pP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．自筹和外拨经费要求。由企业牵头申报的，自筹经费不</w:t>
      </w:r>
      <w:r>
        <w:rPr>
          <w:spacing w:val="8"/>
        </w:rPr>
        <w:t>低于财政补助经费的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倍（山区海岛县企业、农业领域项目</w:t>
      </w:r>
      <w:r>
        <w:rPr>
          <w:spacing w:val="7"/>
        </w:rPr>
        <w:t>原则</w:t>
      </w:r>
      <w:r>
        <w:rPr>
          <w:spacing w:val="10"/>
        </w:rPr>
        <w:t>上不低于研发总经费的</w:t>
      </w:r>
      <w:r>
        <w:rPr>
          <w:rFonts w:ascii="Times New Roman" w:hAnsi="Times New Roman" w:eastAsia="Times New Roman" w:cs="Times New Roman"/>
          <w:spacing w:val="10"/>
        </w:rPr>
        <w:t>60%</w:t>
      </w:r>
      <w:r>
        <w:rPr>
          <w:spacing w:val="-68"/>
        </w:rPr>
        <w:t>）；</w:t>
      </w:r>
      <w:r>
        <w:rPr>
          <w:spacing w:val="10"/>
        </w:rPr>
        <w:t>由高校院所、新型研发机构等事</w:t>
      </w:r>
      <w:r>
        <w:rPr>
          <w:spacing w:val="5"/>
        </w:rPr>
        <w:t>业性质单位以及民办非企业牵头联合企业共同申报的，自筹经费不低于财政补助经费；由高校院所、新型研发机构等事业性质单位以及民办非企业独立承担的，鼓励单位联动加大研发投入，研</w:t>
      </w:r>
      <w:r>
        <w:rPr>
          <w:spacing w:val="8"/>
        </w:rPr>
        <w:t>发总经费不低于财政补助经费。</w:t>
      </w:r>
    </w:p>
    <w:p w14:paraId="202919EA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20" w:right="2" w:firstLine="629"/>
        <w:textAlignment w:val="baseline"/>
        <w:rPr>
          <w:spacing w:val="5"/>
        </w:rPr>
      </w:pPr>
      <w:r>
        <w:rPr>
          <w:spacing w:val="5"/>
        </w:rPr>
        <w:t>项目立项后，自筹经费不得调减。项目申请财政</w:t>
      </w:r>
      <w:r>
        <w:rPr>
          <w:spacing w:val="4"/>
        </w:rPr>
        <w:t>补助金额的</w:t>
      </w:r>
      <w:r>
        <w:rPr>
          <w:spacing w:val="5"/>
        </w:rPr>
        <w:t>外拨比例，原则上不得超过</w:t>
      </w:r>
      <w:r>
        <w:rPr>
          <w:rFonts w:ascii="Times New Roman" w:hAnsi="Times New Roman" w:eastAsia="Times New Roman" w:cs="Times New Roman"/>
          <w:spacing w:val="5"/>
        </w:rPr>
        <w:t>50%</w:t>
      </w:r>
      <w:r>
        <w:rPr>
          <w:spacing w:val="5"/>
        </w:rPr>
        <w:t>。</w:t>
      </w:r>
    </w:p>
    <w:p w14:paraId="01CF6196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20" w:right="2" w:firstLine="629"/>
        <w:textAlignment w:val="baseline"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．宁波市属单位和企业承担的项目，由宁波市落实项目经</w:t>
      </w:r>
      <w:r>
        <w:rPr>
          <w:spacing w:val="5"/>
        </w:rPr>
        <w:t>费、自主管理。省实验室、省技术创新中心立项的项目及省级财</w:t>
      </w:r>
      <w:r>
        <w:rPr>
          <w:spacing w:val="7"/>
        </w:rPr>
        <w:t>政补助经费按有关政策执行。</w:t>
      </w:r>
    </w:p>
    <w:p w14:paraId="38DE5392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69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四、科研诚信和科技伦理要求</w:t>
      </w:r>
    </w:p>
    <w:p w14:paraId="73664E9F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32" w:right="2" w:firstLine="638"/>
        <w:textAlignment w:val="baseline"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．申报单位、参与单位以及团队成员，无在惩戒执行期内的科研失信行为记录和相关社会领域信用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黑名单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记录。</w:t>
      </w:r>
    </w:p>
    <w:p w14:paraId="37CD2C6E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8" w:right="2" w:firstLine="621"/>
        <w:textAlignment w:val="baseline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．申报项目的主要研发内容应未获国家和省级等有关部门</w:t>
      </w:r>
      <w:r>
        <w:rPr>
          <w:spacing w:val="5"/>
        </w:rPr>
        <w:t>立项支持，未多头申报或重复申报。项目可行性报告相</w:t>
      </w:r>
      <w:r>
        <w:rPr>
          <w:spacing w:val="4"/>
        </w:rPr>
        <w:t>似度须低</w:t>
      </w:r>
      <w:r>
        <w:rPr>
          <w:spacing w:val="-3"/>
        </w:rPr>
        <w:t>于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>。</w:t>
      </w:r>
    </w:p>
    <w:p w14:paraId="65BF30AF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2" w:right="2" w:firstLine="643"/>
        <w:textAlignment w:val="baseline"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．项目研究涉及以下内容的，申报前相关申报单位应开展</w:t>
      </w:r>
      <w:r>
        <w:rPr>
          <w:spacing w:val="5"/>
        </w:rPr>
        <w:t>科技伦理审查，并上传本单位科技伦理（审查）委员会出具的科技伦理审查报告。未设立科技伦理（审查）委员会的单位，应委</w:t>
      </w:r>
      <w:r>
        <w:rPr>
          <w:spacing w:val="9"/>
        </w:rPr>
        <w:t>托有能力的伦理审查机构审查并出具科技伦理审查报告。</w:t>
      </w:r>
    </w:p>
    <w:p w14:paraId="0A54EE0C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5" w:right="2" w:firstLine="632"/>
        <w:jc w:val="both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）涉及人的科技活动，包括以人为研究参与者的测试、</w:t>
      </w:r>
      <w:r>
        <w:rPr>
          <w:spacing w:val="5"/>
        </w:rPr>
        <w:t>调查、观察性研究等，以及涉及使用人类基因、人类胚胎、人类</w:t>
      </w:r>
      <w:r>
        <w:rPr>
          <w:spacing w:val="7"/>
        </w:rPr>
        <w:t>生物样本、个人信息等。</w:t>
      </w:r>
    </w:p>
    <w:p w14:paraId="27121A8D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32"/>
        <w:textAlignment w:val="baseline"/>
      </w:pPr>
      <w:r>
        <w:rPr>
          <w:spacing w:val="8"/>
          <w:position w:val="1"/>
        </w:rPr>
        <w:t>（</w:t>
      </w:r>
      <w:r>
        <w:rPr>
          <w:rFonts w:ascii="Times New Roman" w:hAnsi="Times New Roman" w:eastAsia="Times New Roman" w:cs="Times New Roman"/>
          <w:spacing w:val="8"/>
          <w:position w:val="1"/>
        </w:rPr>
        <w:t>2</w:t>
      </w:r>
      <w:r>
        <w:rPr>
          <w:spacing w:val="8"/>
          <w:position w:val="1"/>
        </w:rPr>
        <w:t>）涉及实验动物的科技活动。</w:t>
      </w:r>
    </w:p>
    <w:p w14:paraId="0CB390E5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156" w:firstLine="632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）不直接涉及人或实验动物，但可能在生命健康、生态</w:t>
      </w:r>
      <w:r>
        <w:rPr>
          <w:spacing w:val="5"/>
        </w:rPr>
        <w:t>环境、公共秩序、可持续发展等方面带来伦理风险挑战的科技活</w:t>
      </w:r>
      <w:r>
        <w:rPr>
          <w:spacing w:val="-2"/>
        </w:rPr>
        <w:t>动。</w:t>
      </w:r>
    </w:p>
    <w:p w14:paraId="198D9EC7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21" w:right="156" w:firstLine="611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）依据法律、行政法规和国家有关规定需进行科技伦理</w:t>
      </w:r>
      <w:r>
        <w:rPr>
          <w:spacing w:val="5"/>
        </w:rPr>
        <w:t>审查的其他科技活动。</w:t>
      </w:r>
    </w:p>
    <w:p w14:paraId="0F691586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1" w:firstLine="632"/>
        <w:jc w:val="both"/>
        <w:textAlignment w:val="baseline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．开展纳入清单（需要开展伦理审查复核的科技活动清单）</w:t>
      </w:r>
      <w:r>
        <w:rPr>
          <w:spacing w:val="10"/>
        </w:rPr>
        <w:t>管理的科技活动，通过科技伦理（审查）委员会的初步审查后，</w:t>
      </w:r>
      <w:r>
        <w:rPr>
          <w:spacing w:val="5"/>
        </w:rPr>
        <w:t>由本单位报请其行业主管部门组织开展专家复核。多个单位参与</w:t>
      </w:r>
      <w:r>
        <w:rPr>
          <w:spacing w:val="6"/>
        </w:rPr>
        <w:t>的，由牵头单位汇总并向其行业主管部门申请专家复核。</w:t>
      </w:r>
    </w:p>
    <w:p w14:paraId="7264108D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9" w:right="156" w:firstLine="622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）对人类生命健康、价值理念、生态环境等具有重大影</w:t>
      </w:r>
      <w:r>
        <w:rPr>
          <w:spacing w:val="6"/>
        </w:rPr>
        <w:t>响的新物种合成研究。</w:t>
      </w:r>
    </w:p>
    <w:p w14:paraId="223DE4BA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37" w:right="156" w:firstLine="595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）将人干细胞导入动物胚胎或胎儿并进一步在动物子宫</w:t>
      </w:r>
      <w:r>
        <w:rPr>
          <w:spacing w:val="4"/>
        </w:rPr>
        <w:t>中孕育成个体的相关研究。</w:t>
      </w:r>
    </w:p>
    <w:p w14:paraId="587A0B06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9" w:right="156" w:firstLine="622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）改变人类生殖细胞、受精卵和着床前胚胎细胞核遗传</w:t>
      </w:r>
      <w:r>
        <w:rPr>
          <w:spacing w:val="7"/>
        </w:rPr>
        <w:t>物质或遗传规律的基础研究。</w:t>
      </w:r>
    </w:p>
    <w:p w14:paraId="4FA04E6F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20" w:right="156" w:firstLine="612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）侵入式脑机接口用于神经、精神类疾病治疗的临床研</w:t>
      </w:r>
      <w:r>
        <w:rPr>
          <w:spacing w:val="-12"/>
        </w:rPr>
        <w:t>究。</w:t>
      </w:r>
    </w:p>
    <w:p w14:paraId="4734659E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9" w:right="156" w:firstLine="622"/>
        <w:textAlignment w:val="baseline"/>
        <w:rPr>
          <w:spacing w:val="7"/>
        </w:rPr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）对人类主观行为、心理情绪和生命健康等具有较强影</w:t>
      </w:r>
      <w:r>
        <w:rPr>
          <w:spacing w:val="7"/>
        </w:rPr>
        <w:t>响的人机融合系统的研发。</w:t>
      </w:r>
    </w:p>
    <w:p w14:paraId="16023DC5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9" w:right="156" w:firstLine="622"/>
        <w:textAlignment w:val="baseline"/>
      </w:pPr>
      <w:r>
        <w:rPr>
          <w:spacing w:val="11"/>
          <w:position w:val="1"/>
        </w:rPr>
        <w:t>（</w:t>
      </w:r>
      <w:r>
        <w:rPr>
          <w:rFonts w:ascii="Times New Roman" w:hAnsi="Times New Roman" w:eastAsia="Times New Roman" w:cs="Times New Roman"/>
          <w:spacing w:val="11"/>
          <w:position w:val="1"/>
        </w:rPr>
        <w:t>6</w:t>
      </w:r>
      <w:r>
        <w:rPr>
          <w:spacing w:val="11"/>
          <w:position w:val="1"/>
        </w:rPr>
        <w:t>）具有舆论社会动员能力和社会意识引导能力的算法模</w:t>
      </w:r>
      <w:r>
        <w:rPr>
          <w:spacing w:val="7"/>
        </w:rPr>
        <w:t>型、应用程序及系统的研发。</w:t>
      </w:r>
    </w:p>
    <w:p w14:paraId="76F5B2D1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27" w:firstLine="605"/>
        <w:textAlignment w:val="baseline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7</w:t>
      </w:r>
      <w:r>
        <w:rPr>
          <w:spacing w:val="11"/>
        </w:rPr>
        <w:t>）面向存在安全、人身健康风险等场景的具有高度自主</w:t>
      </w:r>
      <w:r>
        <w:rPr>
          <w:spacing w:val="6"/>
        </w:rPr>
        <w:t>能力的自动化决策系统的研发。</w:t>
      </w:r>
    </w:p>
    <w:p w14:paraId="3E8CD33C">
      <w:pPr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65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五、其他注意事项</w:t>
      </w:r>
    </w:p>
    <w:p w14:paraId="73A38754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65"/>
        <w:textAlignment w:val="baseline"/>
        <w:rPr>
          <w:spacing w:val="8"/>
        </w:rPr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．申报项目的可行性报告中应严格回避项目申请单</w:t>
      </w:r>
      <w:r>
        <w:rPr>
          <w:spacing w:val="4"/>
        </w:rPr>
        <w:t>位、参</w:t>
      </w:r>
      <w:r>
        <w:rPr>
          <w:spacing w:val="5"/>
        </w:rPr>
        <w:t>与单位及项目组成员的相关信息，以确保专家评审的公正性。申</w:t>
      </w:r>
      <w:r>
        <w:rPr>
          <w:spacing w:val="17"/>
        </w:rPr>
        <w:t>请材料和相关证明材料不得包含法律禁止公开的秘密内容或申</w:t>
      </w:r>
      <w:r>
        <w:rPr>
          <w:spacing w:val="8"/>
        </w:rPr>
        <w:t>请人要求保密的内容，如涉密须脱密后提交。</w:t>
      </w:r>
    </w:p>
    <w:p w14:paraId="06AED91A">
      <w:pPr>
        <w:pStyle w:val="2"/>
        <w:keepNext w:val="0"/>
        <w:keepLines w:val="0"/>
        <w:pageBreakBefore w:val="0"/>
        <w:widowControl/>
        <w:kinsoku w:val="0"/>
        <w:wordWrap w:val="0"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65"/>
        <w:textAlignment w:val="baseline"/>
      </w:pP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．项目实施过程中应严格遵守《中华人民共和国科学技</w:t>
      </w:r>
      <w:r>
        <w:rPr>
          <w:spacing w:val="-6"/>
        </w:rPr>
        <w:t>术进步法》《科技伦理审查办法（试行）》《中华人民共和国人类</w:t>
      </w:r>
      <w:r>
        <w:rPr>
          <w:spacing w:val="5"/>
        </w:rPr>
        <w:t>遗传资源管理条例》等法律法规和有关规定，恪守职业规范和科</w:t>
      </w:r>
      <w:r>
        <w:rPr>
          <w:spacing w:val="3"/>
        </w:rPr>
        <w:t>学道德。</w:t>
      </w:r>
    </w:p>
    <w:p w14:paraId="23C70EFC">
      <w:pPr>
        <w:keepNext w:val="0"/>
        <w:keepLines w:val="0"/>
        <w:pageBreakBefore w:val="0"/>
        <w:widowControl/>
        <w:kinsoku w:val="0"/>
        <w:overflowPunct w:val="0"/>
        <w:topLinePunct/>
        <w:bidi w:val="0"/>
        <w:adjustRightInd w:val="0"/>
        <w:snapToGrid w:val="0"/>
        <w:textAlignment w:val="baseline"/>
      </w:pPr>
    </w:p>
    <w:sectPr>
      <w:footerReference r:id="rId5" w:type="default"/>
      <w:pgSz w:w="11906" w:h="16839"/>
      <w:pgMar w:top="1431" w:right="1475" w:bottom="1401" w:left="1598" w:header="0" w:footer="10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CB9AF">
    <w:pPr>
      <w:spacing w:before="1" w:line="235" w:lineRule="auto"/>
      <w:ind w:right="38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2025-08-18T01:52:03Z</dcterms:created>
  <dc:creator>honghezi</dc:creator>
  <cp:lastModifiedBy>何智</cp:lastModifiedBy>
  <dcterms:modified xsi:type="dcterms:W3CDTF">2025-08-18T01:53:00Z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eyJoZGlkIjoiMDQ5YTIyNmE4YWU1OWIzNTEzMTAwNjRhMzliMzlmYjciLCJ1c2VySWQiOiIyNTU2MTk2MjAifQ==</vt:lpwstr>
  </property>
  <property fmtid="{D5CDD505-2E9C-101B-9397-08002B2CF9AE}" pid="4" name="ICV">
    <vt:lpwstr>B1A1ACCA3487412CAA1841E6CAFCB467_12</vt:lpwstr>
  </property>
</Properties>
</file>